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60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Лабораторная 16. Комплексное тестирование + защита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Цель работы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Провести комплексное тестирование учебного приложения KnowBase по стратегии, разработанной в лабораторной работе №15. Задокументировать все найденные дефекты, рассчитать метрики качества и защитить результаты перед группой в формате презентации.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Введение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Это финальная работа курса. Вы применяете всё что изучали: анализ требований, тест-дизайн, API-тестирование, UI-тестирование, нагрузочное тестирование, тестирование ИИ-компонента. Задача не найти как можно больше багов ради количества, а провести систематическое тестирование по заранее выбранной стратегии и честно задокументировать результаты.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Защита проходит в формате короткой презентации перед группой. Это важная профессиональная навык: представить результаты тестирования так, чтобы аудитория (в реальной жизни - команда, менеджер, заказчик) поняла текущее состояние качества продукта и могла принять решение о релизе.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Объект тестирования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KnowBase - учебный корпоративный портал знаний. Тестирование проводится по стратегии и тест-плану из лабораторной работы №15. 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Технология выполнения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1. Подготовка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Возьмите стратегию и тест-план из лабораторной работы №15. Убедитесь что тестовая среда доступна. Откройте TMS и перенесите туда тест-кейсы из предыдущих лабораторных - авторизация, API, UI, RAG-чат, нагрузка. Дополните новыми тест-кейсами если видите непокрытые области.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2. Проведение тестирования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Тестируйте KnowBase по приоритетам из тест-плана: сначала блоки с приоритетом High, затем Medium, затем Low. Для каждого найденного дефекта сразу заполняйте баг-репорт в шаблоне TMS на листе «Баги». Проставляйте статусы в тест-цикле по ходу выполнения.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Минимальный объём тестирования: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Функциональное тестирование: не менее 20 тест-кейсов (авторизация, статьи, комментарии).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API-тестирование: позитивные и негативные сценарии для ключевых эндпоинтов через Bruno.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UI-тестирование: проверка основных экранов в Chrome DevTools.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Тестирование RAG-чата: не менее 5 вопросов, включая проверку на галлюцинации.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3. Составление итогового отчёта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структурирован по разделам (см. ниже). Ключевая часть - раздел с метриками: он показывает насколько эффективно проведено тестирование, а не только что найдено.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Шаг 4. Подготовка презентации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Презентация длится 5–7 минут. Структура строгая: одна минута - объект и стратегия, две-три минуты - найденные дефекты с примерами, одна-две минуты - метрики и вывод о готовности к релизу.</w:t>
      </w:r>
    </w:p>
    <w:tbl>
      <w:tblPr>
        <w:tblStyle w:val="Table1"/>
        <w:tblW w:w="7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85"/>
        <w:tblGridChange w:id="0">
          <w:tblGrid>
            <w:gridCol w:w="7485"/>
          </w:tblGrid>
        </w:tblGridChange>
      </w:tblGrid>
      <w:tr>
        <w:trPr>
          <w:cantSplit w:val="0"/>
          <w:trHeight w:val="268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Совет по презентации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Не пересказывайте все баги подряд. Выберите 2–3 самых интересных или критичных</w:t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и покажите их детально: шаги воспроизведения, ОР, ФР, severity.</w:t>
            </w:r>
          </w:p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Остальные баги - только цифрой в метриках.</w:t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Завершите чётким ответом: готов ли продукт к релизу по вашим критериям выхода?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Структура итогового отчёта</w:t>
      </w:r>
    </w:p>
    <w:p w:rsidR="00000000" w:rsidDel="00000000" w:rsidP="00000000" w:rsidRDefault="00000000" w:rsidRPr="00000000" w14:paraId="0000001F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Титульный лист.</w:t>
      </w:r>
    </w:p>
    <w:p w:rsidR="00000000" w:rsidDel="00000000" w:rsidP="00000000" w:rsidRDefault="00000000" w:rsidRPr="00000000" w14:paraId="00000020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Краткое содержание задания.</w:t>
      </w:r>
    </w:p>
    <w:p w:rsidR="00000000" w:rsidDel="00000000" w:rsidP="00000000" w:rsidRDefault="00000000" w:rsidRPr="00000000" w14:paraId="00000021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1. Стратегия тестирования (из лабораторной работы №15, при необходимости актуализировать).</w:t>
      </w:r>
    </w:p>
    <w:p w:rsidR="00000000" w:rsidDel="00000000" w:rsidP="00000000" w:rsidRDefault="00000000" w:rsidRPr="00000000" w14:paraId="00000022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2. Тест-план и его выполнение (scope, что фактически протестировано, отклонения от плана).</w:t>
      </w:r>
    </w:p>
    <w:p w:rsidR="00000000" w:rsidDel="00000000" w:rsidP="00000000" w:rsidRDefault="00000000" w:rsidRPr="00000000" w14:paraId="00000023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3. Результаты тестирования:</w:t>
      </w:r>
    </w:p>
    <w:p w:rsidR="00000000" w:rsidDel="00000000" w:rsidP="00000000" w:rsidRDefault="00000000" w:rsidRPr="00000000" w14:paraId="00000024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1 Сводка из шаблона TMS: Pass Rate, количество тест-кейсов, статусы.</w:t>
      </w:r>
    </w:p>
    <w:p w:rsidR="00000000" w:rsidDel="00000000" w:rsidP="00000000" w:rsidRDefault="00000000" w:rsidRPr="00000000" w14:paraId="00000025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2 Все найденные дефекты (таблица из листа «Баги» шаблона TMS).</w:t>
      </w:r>
    </w:p>
    <w:p w:rsidR="00000000" w:rsidDel="00000000" w:rsidP="00000000" w:rsidRDefault="00000000" w:rsidRPr="00000000" w14:paraId="00000026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3 Анализ дефектов: распределение по severity, по функциональным блокам.</w:t>
      </w:r>
    </w:p>
    <w:p w:rsidR="00000000" w:rsidDel="00000000" w:rsidP="00000000" w:rsidRDefault="00000000" w:rsidRPr="00000000" w14:paraId="00000027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sz w:val="18"/>
          <w:szCs w:val="18"/>
          <w:rtl w:val="0"/>
        </w:rPr>
        <w:t xml:space="preserve">Раздел 4. Метрики:</w:t>
      </w:r>
    </w:p>
    <w:p w:rsidR="00000000" w:rsidDel="00000000" w:rsidP="00000000" w:rsidRDefault="00000000" w:rsidRPr="00000000" w14:paraId="00000028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Pass Rate и Fail Rate.</w:t>
      </w:r>
    </w:p>
    <w:p w:rsidR="00000000" w:rsidDel="00000000" w:rsidP="00000000" w:rsidRDefault="00000000" w:rsidRPr="00000000" w14:paraId="00000029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Количество дефектов по severity (Blocker, Critical, Major, Minor, Trivial).</w:t>
      </w:r>
    </w:p>
    <w:p w:rsidR="00000000" w:rsidDel="00000000" w:rsidP="00000000" w:rsidRDefault="00000000" w:rsidRPr="00000000" w14:paraId="0000002A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Плотность дефектов по функциональным блокам.</w:t>
      </w:r>
    </w:p>
    <w:p w:rsidR="00000000" w:rsidDel="00000000" w:rsidP="00000000" w:rsidRDefault="00000000" w:rsidRPr="00000000" w14:paraId="0000002B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Раздел 5. Вывод: готов ли KnowBase к релизу? Обоснование через критерии выхода из тест-плана.</w:t>
      </w:r>
    </w:p>
    <w:p w:rsidR="00000000" w:rsidDel="00000000" w:rsidP="00000000" w:rsidRDefault="00000000" w:rsidRPr="00000000" w14:paraId="0000002C">
      <w:pPr>
        <w:ind w:left="108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sz w:val="18"/>
          <w:szCs w:val="18"/>
          <w:rtl w:val="0"/>
        </w:rPr>
        <w:t xml:space="preserve">Приложения: экспорт тест-цикла и листа «Баги» из шаблона TMS. 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Отчёт сдаётся в форматах docx. Презентация - в формате pptx или pdf.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Требования к презентации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Длительность: 5–7 минут. Регламент соблюдается строго.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Количество слайдов: 5–8.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Обязательные слайды: объект и стратегия, результаты тестирования, топ-дефекты, метрики, вывод о готовности к релизу.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before="0" w:beforeAutospacing="0" w:lineRule="auto"/>
        <w:ind w:left="720" w:hanging="360"/>
      </w:pPr>
      <w:r w:rsidDel="00000000" w:rsidR="00000000" w:rsidRPr="00000000">
        <w:rPr>
          <w:sz w:val="18"/>
          <w:szCs w:val="18"/>
          <w:rtl w:val="0"/>
        </w:rPr>
        <w:t xml:space="preserve">После презентации: 2 вопроса по теории курса от преподавателя.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Критерии оценки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Итоговый отчёт и тестирование - 20 баллов:</w:t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440"/>
        <w:gridCol w:w="1410"/>
        <w:tblGridChange w:id="0">
          <w:tblGrid>
            <w:gridCol w:w="7440"/>
            <w:gridCol w:w="141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Проведено тестирование по стратегии: охвачены все приоритетные блоки из тест-плана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Тест-кейсы: не менее 20, все выполнены со статусами в шаблоне TMS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Баг-репорты: полные, все обязательные поля заполнены, severity обоснован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Метрики рассчитаны корректно: Pass Rate, Fail Rate, распределение по severity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Вывод о готовности к релизу обоснован через критерии выхода из тест-плана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Презентация: структура, регламент, убедительность, ответы на вопросы группы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Оформление отчёта, структура, все разделы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0 - 20 баллов</w:t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Теоретические вопросы на защите - 5 баллов:</w:t>
      </w:r>
    </w:p>
    <w:tbl>
      <w:tblPr>
        <w:tblStyle w:val="Table3"/>
        <w:tblW w:w="5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25"/>
        <w:gridCol w:w="1590"/>
        <w:tblGridChange w:id="0">
          <w:tblGrid>
            <w:gridCol w:w="4125"/>
            <w:gridCol w:w="159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Критерий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Баллы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Вопрос 1: полный, точный, развёрнутый ответ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Вопрос 2: полный, точный, развёрнутый ответ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2,5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ИТОГО</w:t>
            </w:r>
          </w:p>
        </w:tc>
        <w:tc>
          <w:tcPr>
            <w:tcBorders>
              <w:top w:color="dddddd" w:space="0" w:sz="5" w:val="single"/>
              <w:left w:color="dddddd" w:space="0" w:sz="5" w:val="single"/>
              <w:bottom w:color="dddddd" w:space="0" w:sz="5" w:val="single"/>
              <w:right w:color="dddddd" w:space="0" w:sz="5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0 - 5 баллов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