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PODIUM</w:t>
      </w:r>
    </w:p>
    <w:p>
      <w:r>
        <w:rPr>
          <w:i/>
          <w:color w:val="595959"/>
        </w:rPr>
        <w:t>Implementation Response — Engineering Remediation Specification</w:t>
      </w:r>
    </w:p>
    <w:p>
      <w:r>
        <w:rPr>
          <w:b w:val="0"/>
          <w:i w:val="0"/>
        </w:rPr>
        <w:t>Prepared by: implementing engineer</w:t>
      </w:r>
    </w:p>
    <w:p>
      <w:r>
        <w:rPr>
          <w:b w:val="0"/>
          <w:i w:val="0"/>
        </w:rPr>
        <w:t>Date: 20 July 2026</w:t>
      </w:r>
    </w:p>
    <w:p>
      <w:r>
        <w:rPr>
          <w:b w:val="0"/>
          <w:i w:val="0"/>
        </w:rPr>
        <w:t>In response to: Podium — Engineering Remediation Specification (pre-launch audit findings, Round 2)</w:t>
      </w:r>
    </w:p>
    <w:p>
      <w:r>
        <w:rPr>
          <w:b w:val="0"/>
          <w:i w:val="0"/>
        </w:rPr>
        <w:t>Status: Phase 1 and Phase 2 complete. This document records what could NOT be implemented, and why.</w:t>
      </w:r>
    </w:p>
    <w:p/>
    <w:p>
      <w:r>
        <w:rPr>
          <w:b/>
          <w:i w:val="0"/>
        </w:rPr>
        <w:t>Purpose of this document</w:t>
      </w:r>
    </w:p>
    <w:p>
      <w:r>
        <w:rPr>
          <w:b w:val="0"/>
          <w:i w:val="0"/>
        </w:rPr>
        <w:t>The specification has been implemented as far as the source material and the codebase allow. This document is deliberately weighted towards what was not done rather than what was, because the gaps are what we need from you. Section 1 summarises delivery. Sections 2 to 6 group everything outstanding by the reason it is outstanding, since the reasons differ and call for different responses. Section 7 lists points where the specification itself proved inaccurate against the live code. Section 8 is what we need back.</w:t>
      </w:r>
    </w:p>
    <w:p>
      <w:pPr>
        <w:pStyle w:val="Heading1"/>
      </w:pPr>
      <w:r>
        <w:t>1. Summary of what was delivered</w:t>
      </w:r>
    </w:p>
    <w:p>
      <w:r>
        <w:rPr>
          <w:b w:val="0"/>
          <w:i w:val="0"/>
        </w:rPr>
        <w:t>All 19 items in the prioritised fix-first list (§2) are closed, along with the Phase 2 security, legal and observability work. Verification at the time of writing:</w:t>
      </w:r>
    </w:p>
    <w:tbl>
      <w:tblPr>
        <w:tblStyle w:val="LightGrid-Accent1"/>
        <w:tblW w:type="auto" w:w="0"/>
        <w:tblLook w:firstColumn="1" w:firstRow="1" w:lastColumn="0" w:lastRow="0" w:noHBand="0" w:noVBand="1" w:val="04A0"/>
      </w:tblPr>
      <w:tblGrid>
        <w:gridCol w:w="4320"/>
        <w:gridCol w:w="4320"/>
      </w:tblGrid>
      <w:tr>
        <w:tc>
          <w:tcPr>
            <w:tcW w:type="dxa" w:w="3744"/>
          </w:tcPr>
          <w:p>
            <w:r>
              <w:rPr>
                <w:b/>
              </w:rPr>
              <w:t>Gate</w:t>
            </w:r>
          </w:p>
        </w:tc>
        <w:tc>
          <w:tcPr>
            <w:tcW w:type="dxa" w:w="5184"/>
          </w:tcPr>
          <w:p>
            <w:r>
              <w:rPr>
                <w:b/>
              </w:rPr>
              <w:t>Result</w:t>
            </w:r>
          </w:p>
        </w:tc>
      </w:tr>
      <w:tr>
        <w:tc>
          <w:tcPr>
            <w:tcW w:type="dxa" w:w="3744"/>
          </w:tcPr>
          <w:p>
            <w:r>
              <w:t>TypeScript (tsc --noEmit)</w:t>
            </w:r>
          </w:p>
        </w:tc>
        <w:tc>
          <w:tcPr>
            <w:tcW w:type="dxa" w:w="5184"/>
          </w:tcPr>
          <w:p>
            <w:r>
              <w:t>Clean</w:t>
            </w:r>
          </w:p>
        </w:tc>
      </w:tr>
      <w:tr>
        <w:tc>
          <w:tcPr>
            <w:tcW w:type="dxa" w:w="3744"/>
          </w:tcPr>
          <w:p>
            <w:r>
              <w:t>Test suite</w:t>
            </w:r>
          </w:p>
        </w:tc>
        <w:tc>
          <w:tcPr>
            <w:tcW w:type="dxa" w:w="5184"/>
          </w:tcPr>
          <w:p>
            <w:r>
              <w:t>2,001 passing / 208 files (from 1,536)</w:t>
            </w:r>
          </w:p>
        </w:tc>
      </w:tr>
      <w:tr>
        <w:tc>
          <w:tcPr>
            <w:tcW w:type="dxa" w:w="3744"/>
          </w:tcPr>
          <w:p>
            <w:r>
              <w:t>ESLint</w:t>
            </w:r>
          </w:p>
        </w:tc>
        <w:tc>
          <w:tcPr>
            <w:tcW w:type="dxa" w:w="5184"/>
          </w:tcPr>
          <w:p>
            <w:r>
              <w:t>0 errors</w:t>
            </w:r>
          </w:p>
        </w:tc>
      </w:tr>
      <w:tr>
        <w:tc>
          <w:tcPr>
            <w:tcW w:type="dxa" w:w="3744"/>
          </w:tcPr>
          <w:p>
            <w:r>
              <w:t>Production build (next build)</w:t>
            </w:r>
          </w:p>
        </w:tc>
        <w:tc>
          <w:tcPr>
            <w:tcW w:type="dxa" w:w="5184"/>
          </w:tcPr>
          <w:p>
            <w:r>
              <w:t>Succeeds</w:t>
            </w:r>
          </w:p>
        </w:tc>
      </w:tr>
      <w:tr>
        <w:tc>
          <w:tcPr>
            <w:tcW w:type="dxa" w:w="3744"/>
          </w:tcPr>
          <w:p>
            <w:r>
              <w:t>npm audit</w:t>
            </w:r>
          </w:p>
        </w:tc>
        <w:tc>
          <w:tcPr>
            <w:tcW w:type="dxa" w:w="5184"/>
          </w:tcPr>
          <w:p>
            <w:r>
              <w:t>0 critical, 0 high (from 3 critical, 5 high)</w:t>
            </w:r>
          </w:p>
        </w:tc>
      </w:tr>
      <w:tr>
        <w:tc>
          <w:tcPr>
            <w:tcW w:type="dxa" w:w="3744"/>
          </w:tcPr>
          <w:p>
            <w:r>
              <w:t>New database migrations</w:t>
            </w:r>
          </w:p>
        </w:tc>
        <w:tc>
          <w:tcPr>
            <w:tcW w:type="dxa" w:w="5184"/>
          </w:tcPr>
          <w:p>
            <w:r>
              <w:t>22</w:t>
            </w:r>
          </w:p>
        </w:tc>
      </w:tr>
    </w:tbl>
    <w:p/>
    <w:p>
      <w:r>
        <w:rPr>
          <w:b w:val="0"/>
          <w:i w:val="0"/>
        </w:rPr>
        <w:t>One note on the advisories: the Next.js issue resolved was a middleware/proxy bypass in App Router applications. middleware.ts is this application's only auth guard, so that one was directly exploitable here rather than theoretical.</w:t>
      </w:r>
    </w:p>
    <w:p>
      <w:pPr>
        <w:pStyle w:val="Heading1"/>
      </w:pPr>
      <w:r>
        <w:t>2. Could not implement: the specification detail was missing</w:t>
      </w:r>
    </w:p>
    <w:p>
      <w:r>
        <w:rPr>
          <w:b/>
          <w:color w:val="991B1B"/>
        </w:rPr>
        <w:t>This is the largest gap, and the one we most need resolved.</w:t>
      </w:r>
    </w:p>
    <w:p>
      <w:r>
        <w:rPr>
          <w:b w:val="0"/>
          <w:i w:val="0"/>
        </w:rPr>
        <w:t>Sections 3, 4 and 5 of the specification are empty. The headings are present; the content is not. Section 3 (“Blocking / functional failures”) is a heading followed immediately by section 4, and sections 4.1–4.4 and 5.1–5.3 are likewise headings with no body. We believe the tables did not survive export to .docx.</w:t>
      </w:r>
    </w:p>
    <w:p>
      <w:r>
        <w:rPr>
          <w:b w:val="0"/>
          <w:i w:val="0"/>
        </w:rPr>
        <w:t>Those sections are where the specification's own preamble says every finding is written up in full: “a metadata strip (ID, severity, effort, whether it is a new finding), then Problem, Impact, Recommended fix, an Engineering critique, Acceptance criteria, and Dependencies.” None of that reached us for any B-n, NX-n, SB-n, ST-n, DH-n, L-n, SEC-n or DI-n finding.</w:t>
      </w:r>
    </w:p>
    <w:p>
      <w:r>
        <w:rPr>
          <w:b w:val="0"/>
          <w:i w:val="0"/>
        </w:rPr>
        <w:t>What we worked from instead: the one-line descriptions in the §2 prioritised table, the §1.2 risk summary, the cross-references in §6, the phrasing in the §8 roadmap, and — predominantly — reading the code itself. Where a finding carried enough signal to locate the defect, we fixed the defect. Where it did not, we could not act.</w:t>
      </w:r>
    </w:p>
    <w:p>
      <w:pPr>
        <w:pStyle w:val="Heading2"/>
      </w:pPr>
      <w:r>
        <w:t>2.1 Findings with no description anywhere in the document</w:t>
      </w:r>
    </w:p>
    <w:p>
      <w:r>
        <w:rPr>
          <w:b w:val="0"/>
          <w:i w:val="0"/>
        </w:rPr>
        <w:t>The following appear exactly once each, inside a single comma-separated sentence in the Phase 4 roadmap (“Remaining low items NX-4, … DH-4, DH-5, SEC-6, UX-3/UX-7/UX-10 …”). We have an identifier and nothing else — no problem statement, no acceptance criteria. Nothing was implemented for these, and nothing could be.</w:t>
      </w:r>
    </w:p>
    <w:tbl>
      <w:tblPr>
        <w:tblStyle w:val="LightGrid-Accent1"/>
        <w:tblW w:type="auto" w:w="0"/>
        <w:tblLook w:firstColumn="1" w:firstRow="1" w:lastColumn="0" w:lastRow="0" w:noHBand="0" w:noVBand="1" w:val="04A0"/>
      </w:tblPr>
      <w:tblGrid>
        <w:gridCol w:w="4320"/>
        <w:gridCol w:w="4320"/>
      </w:tblGrid>
      <w:tr>
        <w:tc>
          <w:tcPr>
            <w:tcW w:type="dxa" w:w="1440"/>
          </w:tcPr>
          <w:p>
            <w:r>
              <w:rPr>
                <w:b/>
              </w:rPr>
              <w:t>ID</w:t>
            </w:r>
          </w:p>
        </w:tc>
        <w:tc>
          <w:tcPr>
            <w:tcW w:type="dxa" w:w="7488"/>
          </w:tcPr>
          <w:p>
            <w:r>
              <w:rPr>
                <w:b/>
              </w:rPr>
              <w:t>Everything the document says about it</w:t>
            </w:r>
          </w:p>
        </w:tc>
      </w:tr>
      <w:tr>
        <w:tc>
          <w:tcPr>
            <w:tcW w:type="dxa" w:w="1440"/>
          </w:tcPr>
          <w:p>
            <w:r>
              <w:t>NX-4</w:t>
            </w:r>
          </w:p>
        </w:tc>
        <w:tc>
          <w:tcPr>
            <w:tcW w:type="dxa" w:w="7488"/>
          </w:tcPr>
          <w:p>
            <w:r>
              <w:t>Name only, in the Phase 4 list</w:t>
            </w:r>
          </w:p>
        </w:tc>
      </w:tr>
      <w:tr>
        <w:tc>
          <w:tcPr>
            <w:tcW w:type="dxa" w:w="1440"/>
          </w:tcPr>
          <w:p>
            <w:r>
              <w:t>DH-4</w:t>
            </w:r>
          </w:p>
        </w:tc>
        <w:tc>
          <w:tcPr>
            <w:tcW w:type="dxa" w:w="7488"/>
          </w:tcPr>
          <w:p>
            <w:r>
              <w:t>Name only, in the Phase 4 list</w:t>
            </w:r>
          </w:p>
        </w:tc>
      </w:tr>
      <w:tr>
        <w:tc>
          <w:tcPr>
            <w:tcW w:type="dxa" w:w="1440"/>
          </w:tcPr>
          <w:p>
            <w:r>
              <w:t>DH-5</w:t>
            </w:r>
          </w:p>
        </w:tc>
        <w:tc>
          <w:tcPr>
            <w:tcW w:type="dxa" w:w="7488"/>
          </w:tcPr>
          <w:p>
            <w:r>
              <w:t>Name only, in the Phase 4 list</w:t>
            </w:r>
          </w:p>
        </w:tc>
      </w:tr>
      <w:tr>
        <w:tc>
          <w:tcPr>
            <w:tcW w:type="dxa" w:w="1440"/>
          </w:tcPr>
          <w:p>
            <w:r>
              <w:t>SEC-6</w:t>
            </w:r>
          </w:p>
        </w:tc>
        <w:tc>
          <w:tcPr>
            <w:tcW w:type="dxa" w:w="7488"/>
          </w:tcPr>
          <w:p>
            <w:r>
              <w:t>Name only, in the Phase 4 list</w:t>
            </w:r>
          </w:p>
        </w:tc>
      </w:tr>
      <w:tr>
        <w:tc>
          <w:tcPr>
            <w:tcW w:type="dxa" w:w="1440"/>
          </w:tcPr>
          <w:p>
            <w:r>
              <w:t>UX-7</w:t>
            </w:r>
          </w:p>
        </w:tc>
        <w:tc>
          <w:tcPr>
            <w:tcW w:type="dxa" w:w="7488"/>
          </w:tcPr>
          <w:p>
            <w:r>
              <w:t>Name only, in the Phase 4 list</w:t>
            </w:r>
          </w:p>
        </w:tc>
      </w:tr>
      <w:tr>
        <w:tc>
          <w:tcPr>
            <w:tcW w:type="dxa" w:w="1440"/>
          </w:tcPr>
          <w:p>
            <w:r>
              <w:t>UX-10</w:t>
            </w:r>
          </w:p>
        </w:tc>
        <w:tc>
          <w:tcPr>
            <w:tcW w:type="dxa" w:w="7488"/>
          </w:tcPr>
          <w:p>
            <w:r>
              <w:t>Name only, in the Phase 4 list</w:t>
            </w:r>
          </w:p>
        </w:tc>
      </w:tr>
      <w:tr>
        <w:tc>
          <w:tcPr>
            <w:tcW w:type="dxa" w:w="1440"/>
          </w:tcPr>
          <w:p>
            <w:r>
              <w:t>L-2</w:t>
            </w:r>
          </w:p>
        </w:tc>
        <w:tc>
          <w:tcPr>
            <w:tcW w:type="dxa" w:w="7488"/>
          </w:tcPr>
          <w:p>
            <w:r>
              <w:t>Name only, inside the L-4 cluster in the Phase 3 list</w:t>
            </w:r>
          </w:p>
        </w:tc>
      </w:tr>
      <w:tr>
        <w:tc>
          <w:tcPr>
            <w:tcW w:type="dxa" w:w="1440"/>
          </w:tcPr>
          <w:p>
            <w:r>
              <w:t>L-5</w:t>
            </w:r>
          </w:p>
        </w:tc>
        <w:tc>
          <w:tcPr>
            <w:tcW w:type="dxa" w:w="7488"/>
          </w:tcPr>
          <w:p>
            <w:r>
              <w:t>Name only, inside the L-4 cluster in the Phase 3 list</w:t>
            </w:r>
          </w:p>
        </w:tc>
      </w:tr>
    </w:tbl>
    <w:p/>
    <w:p>
      <w:r>
        <w:rPr>
          <w:b/>
          <w:i w:val="0"/>
        </w:rPr>
        <w:t>Please send the write-ups for these eight, or confirm they are dropped.</w:t>
      </w:r>
    </w:p>
    <w:p>
      <w:pPr>
        <w:pStyle w:val="Heading2"/>
      </w:pPr>
      <w:r>
        <w:t>2.2 Findings implemented from a one-line summary</w:t>
      </w:r>
    </w:p>
    <w:p>
      <w:r>
        <w:rPr>
          <w:b w:val="0"/>
          <w:i w:val="0"/>
        </w:rPr>
        <w:t>These were actioned, but from a fragment rather than a specification. We reconstructed intent from the code. If our reading was wrong, the fix may be wrong — please check these against your originals.</w:t>
      </w:r>
    </w:p>
    <w:tbl>
      <w:tblPr>
        <w:tblStyle w:val="LightGrid-Accent1"/>
        <w:tblW w:type="auto" w:w="0"/>
        <w:tblLook w:firstColumn="1" w:firstRow="1" w:lastColumn="0" w:lastRow="0" w:noHBand="0" w:noVBand="1" w:val="04A0"/>
      </w:tblPr>
      <w:tblGrid>
        <w:gridCol w:w="2880"/>
        <w:gridCol w:w="2880"/>
        <w:gridCol w:w="2880"/>
      </w:tblGrid>
      <w:tr>
        <w:tc>
          <w:tcPr>
            <w:tcW w:type="dxa" w:w="1296"/>
          </w:tcPr>
          <w:p>
            <w:r>
              <w:rPr>
                <w:b/>
              </w:rPr>
              <w:t>ID</w:t>
            </w:r>
          </w:p>
        </w:tc>
        <w:tc>
          <w:tcPr>
            <w:tcW w:type="dxa" w:w="3600"/>
          </w:tcPr>
          <w:p>
            <w:r>
              <w:rPr>
                <w:b/>
              </w:rPr>
              <w:t>The complete text available to us</w:t>
            </w:r>
          </w:p>
        </w:tc>
        <w:tc>
          <w:tcPr>
            <w:tcW w:type="dxa" w:w="4032"/>
          </w:tcPr>
          <w:p>
            <w:r>
              <w:rPr>
                <w:b/>
              </w:rPr>
              <w:t>What we did</w:t>
            </w:r>
          </w:p>
        </w:tc>
      </w:tr>
      <w:tr>
        <w:tc>
          <w:tcPr>
            <w:tcW w:type="dxa" w:w="1296"/>
          </w:tcPr>
          <w:p>
            <w:r>
              <w:t>SB-12</w:t>
            </w:r>
          </w:p>
        </w:tc>
        <w:tc>
          <w:tcPr>
            <w:tcW w:type="dxa" w:w="3600"/>
          </w:tcPr>
          <w:p>
            <w:r>
              <w:t>“SB-12 realtime channel ref cleanup”</w:t>
            </w:r>
          </w:p>
        </w:tc>
        <w:tc>
          <w:tcPr>
            <w:tcW w:type="dxa" w:w="4032"/>
          </w:tcPr>
          <w:p>
            <w:r>
              <w:t>Verified all three chat effects return cleanup calling removeChannel/closeChannel. Already correct; no change needed.</w:t>
            </w:r>
          </w:p>
        </w:tc>
      </w:tr>
      <w:tr>
        <w:tc>
          <w:tcPr>
            <w:tcW w:type="dxa" w:w="1296"/>
          </w:tcPr>
          <w:p>
            <w:r>
              <w:t>L-6 / L-7</w:t>
            </w:r>
          </w:p>
        </w:tc>
        <w:tc>
          <w:tcPr>
            <w:tcW w:type="dxa" w:w="3600"/>
          </w:tcPr>
          <w:p>
            <w:r>
              <w:t>“L-6 / L-7 date handling + role-lock race”</w:t>
            </w:r>
          </w:p>
        </w:tc>
        <w:tc>
          <w:tcPr>
            <w:tcW w:type="dxa" w:w="4032"/>
          </w:tcPr>
          <w:p>
            <w:r>
              <w:t>L-7 read as the lockRole TOCTOU: rewritten as a single conditional UPDATE plus a BEFORE UPDATE trigger. L-6 read as listing application_deadline never being enforced: deadlines now filter feeds in SQL.</w:t>
            </w:r>
          </w:p>
        </w:tc>
      </w:tr>
      <w:tr>
        <w:tc>
          <w:tcPr>
            <w:tcW w:type="dxa" w:w="1296"/>
          </w:tcPr>
          <w:p>
            <w:r>
              <w:t>DI-1, DI-2</w:t>
            </w:r>
          </w:p>
        </w:tc>
        <w:tc>
          <w:tcPr>
            <w:tcW w:type="dxa" w:w="3600"/>
          </w:tcPr>
          <w:p>
            <w:r>
              <w:t>Reference only, in the §2 Refs column</w:t>
            </w:r>
          </w:p>
        </w:tc>
        <w:tc>
          <w:tcPr>
            <w:tcW w:type="dxa" w:w="4032"/>
          </w:tcPr>
          <w:p>
            <w:r>
              <w:t>DI-1 treated as the B-1 match trigger. DI-2 treated as the terms snapshot, implemented inside the accept_proposal RPC.</w:t>
            </w:r>
          </w:p>
        </w:tc>
      </w:tr>
      <w:tr>
        <w:tc>
          <w:tcPr>
            <w:tcW w:type="dxa" w:w="1296"/>
          </w:tcPr>
          <w:p>
            <w:r>
              <w:t>SB-5, SB-6</w:t>
            </w:r>
          </w:p>
        </w:tc>
        <w:tc>
          <w:tcPr>
            <w:tcW w:type="dxa" w:w="3600"/>
          </w:tcPr>
          <w:p>
            <w:r>
              <w:t>“RLS-plus-predicate, column projection, batched accessors”</w:t>
            </w:r>
          </w:p>
        </w:tc>
        <w:tc>
          <w:tcPr>
            <w:tcW w:type="dxa" w:w="4032"/>
          </w:tcPr>
          <w:p>
            <w:r>
              <w:t>Partial. Column projection done on the hot paths and both discovery feeds; no systematic pass, because the acceptance criteria were not available.</w:t>
            </w:r>
          </w:p>
        </w:tc>
      </w:tr>
      <w:tr>
        <w:tc>
          <w:tcPr>
            <w:tcW w:type="dxa" w:w="1296"/>
          </w:tcPr>
          <w:p>
            <w:r>
              <w:t>L-4</w:t>
            </w:r>
          </w:p>
        </w:tc>
        <w:tc>
          <w:tcPr>
            <w:tcW w:type="dxa" w:w="3600"/>
          </w:tcPr>
          <w:p>
            <w:r>
              <w:t>“Deal state machine (L-4 anchor: L-1, L-2, SB-7, SB-8, DI-3, L-5)”</w:t>
            </w:r>
          </w:p>
        </w:tc>
        <w:tc>
          <w:tcPr>
            <w:tcW w:type="dxa" w:w="4032"/>
          </w:tcPr>
          <w:p>
            <w:r>
              <w:t>Partial. Accept and counter are RPC-enforced and atomic; decline/withdraw/expire are not. We could not build “one documented module” without the state table it refers to.</w:t>
            </w:r>
          </w:p>
        </w:tc>
      </w:tr>
    </w:tbl>
    <w:p/>
    <w:p>
      <w:pPr>
        <w:pStyle w:val="Heading1"/>
      </w:pPr>
      <w:r>
        <w:t>3. The missing subsystem we found and built: transactional email</w:t>
      </w:r>
    </w:p>
    <w:p>
      <w:r>
        <w:rPr>
          <w:b w:val="0"/>
          <w:i w:val="0"/>
        </w:rPr>
        <w:t>The specification's platform line lists Resend, and four findings (B-8, B-9, FA-10, CL-4) assume a working transactional email layer. We found there was none — no dependency, no template, no send call anywhere in the tree; lib/notifications only wrote in-app log rows. So no user was ever told their contract was signed, their connection request was accepted, or their subscription was charged. That absent subsystem was a larger launch risk than the four findings it nullified.</w:t>
      </w:r>
    </w:p>
    <w:p>
      <w:r>
        <w:rPr>
          <w:b/>
          <w:color w:val="991B1B"/>
        </w:rPr>
        <w:t>We have now built the email layer, made the necessary decisions, and closed all four findings.</w:t>
      </w:r>
    </w:p>
    <w:p>
      <w:r>
        <w:rPr>
          <w:b/>
          <w:i w:val="0"/>
        </w:rPr>
        <w:t>Decisions we made (each reversible; recorded in docs/email.md):</w:t>
      </w:r>
    </w:p>
    <w:tbl>
      <w:tblPr>
        <w:tblStyle w:val="LightGrid-Accent1"/>
        <w:tblW w:type="auto" w:w="0"/>
        <w:tblLook w:firstColumn="1" w:firstRow="1" w:lastColumn="0" w:lastRow="0" w:noHBand="0" w:noVBand="1" w:val="04A0"/>
      </w:tblPr>
      <w:tblGrid>
        <w:gridCol w:w="4320"/>
        <w:gridCol w:w="4320"/>
      </w:tblGrid>
      <w:tr>
        <w:tc>
          <w:tcPr>
            <w:tcW w:type="dxa" w:w="2304"/>
          </w:tcPr>
          <w:p>
            <w:r>
              <w:rPr>
                <w:b/>
              </w:rPr>
              <w:t>Decision</w:t>
            </w:r>
          </w:p>
        </w:tc>
        <w:tc>
          <w:tcPr>
            <w:tcW w:type="dxa" w:w="6624"/>
          </w:tcPr>
          <w:p>
            <w:r>
              <w:rPr>
                <w:b/>
              </w:rPr>
              <w:t>Choice and rationale</w:t>
            </w:r>
          </w:p>
        </w:tc>
      </w:tr>
      <w:tr>
        <w:tc>
          <w:tcPr>
            <w:tcW w:type="dxa" w:w="2304"/>
          </w:tcPr>
          <w:p>
            <w:r>
              <w:t>Provider</w:t>
            </w:r>
          </w:p>
        </w:tc>
        <w:tc>
          <w:tcPr>
            <w:tcW w:type="dxa" w:w="6624"/>
          </w:tcPr>
          <w:p>
            <w:r>
              <w:t>Resend, called via fetch — zero new dependencies (its send API is one POST). Unset key ⇒ a no-op that logs every attempt, so dev/CI need no mail account.</w:t>
            </w:r>
          </w:p>
        </w:tc>
      </w:tr>
      <w:tr>
        <w:tc>
          <w:tcPr>
            <w:tcW w:type="dxa" w:w="2304"/>
          </w:tcPr>
          <w:p>
            <w:r>
              <w:t>Preference store</w:t>
            </w:r>
          </w:p>
        </w:tc>
        <w:tc>
          <w:tcPr>
            <w:tcW w:type="dxa" w:w="6624"/>
          </w:tcPr>
          <w:p>
            <w:r>
              <w:t>profile_settings.notification_matrix (cross-role). This resolves the divergence we flagged: athlete_profiles.notification_prefs is now deprecated for delivery.</w:t>
            </w:r>
          </w:p>
        </w:tc>
      </w:tr>
      <w:tr>
        <w:tc>
          <w:tcPr>
            <w:tcW w:type="dxa" w:w="2304"/>
          </w:tcPr>
          <w:p>
            <w:r>
              <w:t>Transactional vs marketing</w:t>
            </w:r>
          </w:p>
        </w:tc>
        <w:tc>
          <w:tcPr>
            <w:tcW w:type="dxa" w:w="6624"/>
          </w:tcPr>
          <w:p>
            <w:r>
              <w:t>Deal/money emails default on and carry a preferences link; marketing defaults off, requires opt-in, and carries a one-click unsubscribe. Legitimate under PECR soft opt-in.</w:t>
            </w:r>
          </w:p>
        </w:tc>
      </w:tr>
    </w:tbl>
    <w:p/>
    <w:p>
      <w:r>
        <w:rPr>
          <w:b/>
          <w:i w:val="0"/>
        </w:rPr>
        <w:t>How each finding is now closed:</w:t>
      </w:r>
    </w:p>
    <w:tbl>
      <w:tblPr>
        <w:tblStyle w:val="LightGrid-Accent1"/>
        <w:tblW w:type="auto" w:w="0"/>
        <w:tblLook w:firstColumn="1" w:firstRow="1" w:lastColumn="0" w:lastRow="0" w:noHBand="0" w:noVBand="1" w:val="04A0"/>
      </w:tblPr>
      <w:tblGrid>
        <w:gridCol w:w="2880"/>
        <w:gridCol w:w="2880"/>
        <w:gridCol w:w="2880"/>
      </w:tblGrid>
      <w:tr>
        <w:tc>
          <w:tcPr>
            <w:tcW w:type="dxa" w:w="1440"/>
          </w:tcPr>
          <w:p>
            <w:r>
              <w:rPr>
                <w:b/>
              </w:rPr>
              <w:t>ID</w:t>
            </w:r>
          </w:p>
        </w:tc>
        <w:tc>
          <w:tcPr>
            <w:tcW w:type="dxa" w:w="2736"/>
          </w:tcPr>
          <w:p>
            <w:r>
              <w:rPr>
                <w:b/>
              </w:rPr>
              <w:t>Finding</w:t>
            </w:r>
          </w:p>
        </w:tc>
        <w:tc>
          <w:tcPr>
            <w:tcW w:type="dxa" w:w="4752"/>
          </w:tcPr>
          <w:p>
            <w:r>
              <w:rPr>
                <w:b/>
              </w:rPr>
              <w:t>Resolution</w:t>
            </w:r>
          </w:p>
        </w:tc>
      </w:tr>
      <w:tr>
        <w:tc>
          <w:tcPr>
            <w:tcW w:type="dxa" w:w="1440"/>
          </w:tcPr>
          <w:p>
            <w:r>
              <w:t>B-8 / SEC-1</w:t>
            </w:r>
          </w:p>
        </w:tc>
        <w:tc>
          <w:tcPr>
            <w:tcW w:type="dxa" w:w="2736"/>
          </w:tcPr>
          <w:p>
            <w:r>
              <w:t>Email template stored XSS via proposal title</w:t>
            </w:r>
          </w:p>
        </w:tc>
        <w:tc>
          <w:tcPr>
            <w:tcW w:type="dxa" w:w="4752"/>
          </w:tcPr>
          <w:p>
            <w:r>
              <w:t>Live and defended. All user content renders only through an escape-by-default template helper; tests assert the exact "&gt;&lt;img onerror&gt; vector the finding named is inert.</w:t>
            </w:r>
          </w:p>
        </w:tc>
      </w:tr>
      <w:tr>
        <w:tc>
          <w:tcPr>
            <w:tcW w:type="dxa" w:w="1440"/>
          </w:tcPr>
          <w:p>
            <w:r>
              <w:t>B-9</w:t>
            </w:r>
          </w:p>
        </w:tc>
        <w:tc>
          <w:tcPr>
            <w:tcW w:type="dxa" w:w="2736"/>
          </w:tcPr>
          <w:p>
            <w:r>
              <w:t>Contract fully-signed email never sent</w:t>
            </w:r>
          </w:p>
        </w:tc>
        <w:tc>
          <w:tcPr>
            <w:tcW w:type="dxa" w:w="4752"/>
          </w:tcPr>
          <w:p>
            <w:r>
              <w:t>Template and event built and ready. NOT wired, because there is still no contract-signing action anywhere in the product to fire it from — see below. This is the one part we could not complete.</w:t>
            </w:r>
          </w:p>
        </w:tc>
      </w:tr>
      <w:tr>
        <w:tc>
          <w:tcPr>
            <w:tcW w:type="dxa" w:w="1440"/>
          </w:tcPr>
          <w:p>
            <w:r>
              <w:t>FA-10</w:t>
            </w:r>
          </w:p>
        </w:tc>
        <w:tc>
          <w:tcPr>
            <w:tcW w:type="dxa" w:w="2736"/>
          </w:tcPr>
          <w:p>
            <w:r>
              <w:t>No retry/backoff on email calls</w:t>
            </w:r>
          </w:p>
        </w:tc>
        <w:tc>
          <w:tcPr>
            <w:tcW w:type="dxa" w:w="4752"/>
          </w:tcPr>
          <w:p>
            <w:r>
              <w:t>Sends retry with exponential backoff; every attempt is logged; hard bounces/complaints/unsubscribes are suppressed before future sends.</w:t>
            </w:r>
          </w:p>
        </w:tc>
      </w:tr>
      <w:tr>
        <w:tc>
          <w:tcPr>
            <w:tcW w:type="dxa" w:w="1440"/>
          </w:tcPr>
          <w:p>
            <w:r>
              <w:t>CL-4</w:t>
            </w:r>
          </w:p>
        </w:tc>
        <w:tc>
          <w:tcPr>
            <w:tcW w:type="dxa" w:w="2736"/>
          </w:tcPr>
          <w:p>
            <w:r>
              <w:t>Transactional emails have no unsubscribe link</w:t>
            </w:r>
          </w:p>
        </w:tc>
        <w:tc>
          <w:tcPr>
            <w:tcW w:type="dxa" w:w="4752"/>
          </w:tcPr>
          <w:p>
            <w:r>
              <w:t>Every footer links to a new cross-role preferences page; marketing mail carries an HMAC-signed one-click unsubscribe with RFC 8058 headers.</w:t>
            </w:r>
          </w:p>
        </w:tc>
      </w:tr>
    </w:tbl>
    <w:p/>
    <w:p>
      <w:r>
        <w:rPr>
          <w:b w:val="0"/>
          <w:i w:val="0"/>
        </w:rPr>
        <w:t>Seven of the eight events are wired at their genuine success points (connection request received/accepted, proposal received/accepted, payment received, subscription started, subscription payment failed), idempotency-keyed so a Stripe webhook retry cannot email twice. The whole layer is behind a single sendTransactionalEmail() call that never throws, so a mail hiccup can never roll back the action that triggered it.</w:t>
      </w:r>
    </w:p>
    <w:p>
      <w:r>
        <w:rPr>
          <w:b/>
          <w:color w:val="991B1B"/>
        </w:rPr>
        <w:t>The one thing we could NOT finish: B-9. There is no signing surface in the product — contracts are created but nothing ever signs them. The email is ready to fire the moment a signing action exists; building the e-signature flow itself is a separate feature, not part of the email layer, and we did not fabricate one.</w:t>
      </w:r>
    </w:p>
    <w:p>
      <w:r>
        <w:rPr>
          <w:b w:val="0"/>
          <w:i w:val="0"/>
        </w:rPr>
        <w:t>Two smaller follow-ups, both noted in docs/email.md: email deep-links currently point at the role-agnostic /dashboard (which redirects correctly per role) rather than, say, the exact conversation — a proper per-role deep link needs message routes that teams and agents do not yet have. And a Resend delivery/bounce webhook should feed the suppression list; the table and accessor are ready for it.</w:t>
      </w:r>
    </w:p>
    <w:p>
      <w:pPr>
        <w:pStyle w:val="Heading1"/>
      </w:pPr>
      <w:r>
        <w:t>4. Could not implement: blocked on a product decision</w:t>
      </w:r>
    </w:p>
    <w:p>
      <w:r>
        <w:rPr>
          <w:b w:val="0"/>
          <w:i w:val="0"/>
        </w:rPr>
        <w:t>Section 9 of the specification answered eleven open questions, and those answers were used throughout — symmetric match pairs, a 300-character maximum, any participant may create a proposal, reversible archiving, financial records anonymised rather than deleted, resumable onboarding, logout added, storage bucket policy fixed, both browse modes built. Thank you; those unblocked real work.</w:t>
      </w:r>
    </w:p>
    <w:p>
      <w:r>
        <w:rPr>
          <w:b w:val="0"/>
          <w:i w:val="0"/>
        </w:rPr>
        <w:t>The following still need a decision before they can be built, and we would be guessing at product rather than implementing a specification.</w:t>
      </w:r>
    </w:p>
    <w:tbl>
      <w:tblPr>
        <w:tblStyle w:val="LightGrid-Accent1"/>
        <w:tblW w:type="auto" w:w="0"/>
        <w:tblLook w:firstColumn="1" w:firstRow="1" w:lastColumn="0" w:lastRow="0" w:noHBand="0" w:noVBand="1" w:val="04A0"/>
      </w:tblPr>
      <w:tblGrid>
        <w:gridCol w:w="4320"/>
        <w:gridCol w:w="4320"/>
      </w:tblGrid>
      <w:tr>
        <w:tc>
          <w:tcPr>
            <w:tcW w:type="dxa" w:w="2448"/>
          </w:tcPr>
          <w:p>
            <w:r>
              <w:rPr>
                <w:b/>
              </w:rPr>
              <w:t>Area</w:t>
            </w:r>
          </w:p>
        </w:tc>
        <w:tc>
          <w:tcPr>
            <w:tcW w:type="dxa" w:w="6480"/>
          </w:tcPr>
          <w:p>
            <w:r>
              <w:rPr>
                <w:b/>
              </w:rPr>
              <w:t>Decision needed</w:t>
            </w:r>
          </w:p>
        </w:tc>
      </w:tr>
      <w:tr>
        <w:tc>
          <w:tcPr>
            <w:tcW w:type="dxa" w:w="2448"/>
          </w:tcPr>
          <w:p>
            <w:r>
              <w:t>PR-1 — feed ranking</w:t>
            </w:r>
          </w:p>
        </w:tc>
        <w:tc>
          <w:tcPr>
            <w:tcW w:type="dxa" w:w="6480"/>
          </w:tcPr>
          <w:p>
            <w:r>
              <w:t>What are the ranking inputs and their relative weights? “Closest matches at top” is directional; we need the fit criteria and their priority order to build a heuristic anyone can defend.</w:t>
            </w:r>
          </w:p>
        </w:tc>
      </w:tr>
      <w:tr>
        <w:tc>
          <w:tcPr>
            <w:tcW w:type="dxa" w:w="2448"/>
          </w:tcPr>
          <w:p>
            <w:r>
              <w:t>PR-2 — listings model</w:t>
            </w:r>
          </w:p>
        </w:tc>
        <w:tc>
          <w:tcPr>
            <w:tcW w:type="dxa" w:w="6480"/>
          </w:tcPr>
          <w:p>
            <w:r>
              <w:t>Which listing types should the enum be expanded to? The current set has two values. This is a schema change, so the list should be settled first.</w:t>
            </w:r>
          </w:p>
        </w:tc>
      </w:tr>
      <w:tr>
        <w:tc>
          <w:tcPr>
            <w:tcW w:type="dxa" w:w="2448"/>
          </w:tcPr>
          <w:p>
            <w:r>
              <w:t>PR-14 — taxonomies</w:t>
            </w:r>
          </w:p>
        </w:tc>
        <w:tc>
          <w:tcPr>
            <w:tcW w:type="dxa" w:w="6480"/>
          </w:tcPr>
          <w:p>
            <w:r>
              <w:t>The actual vocabulary. The requirement asks for “a comprehensive, shared vocabulary of agent-relationship titles” and a range of brand offerings; we cannot invent the terms a sports-marketing audience expects.</w:t>
            </w:r>
          </w:p>
        </w:tc>
      </w:tr>
      <w:tr>
        <w:tc>
          <w:tcPr>
            <w:tcW w:type="dxa" w:w="2448"/>
          </w:tcPr>
          <w:p>
            <w:r>
              <w:t>PR-12 — dashboards</w:t>
            </w:r>
          </w:p>
        </w:tc>
        <w:tc>
          <w:tcPr>
            <w:tcW w:type="dxa" w:w="6480"/>
          </w:tcPr>
          <w:p>
            <w:r>
              <w:t>Which metrics each role's dashboard should surface. Four dashboards exist but were not built from a metric specification.</w:t>
            </w:r>
          </w:p>
        </w:tc>
      </w:tr>
      <w:tr>
        <w:tc>
          <w:tcPr>
            <w:tcW w:type="dxa" w:w="2448"/>
          </w:tcPr>
          <w:p>
            <w:r>
              <w:t>PR-13 — two-sided matching</w:t>
            </w:r>
          </w:p>
        </w:tc>
        <w:tc>
          <w:tcPr>
            <w:tcW w:type="dxa" w:w="6480"/>
          </w:tcPr>
          <w:p>
            <w:r>
              <w:t>This expands the matching model itself and interacts with PR-1. Needs design before schema.</w:t>
            </w:r>
          </w:p>
        </w:tc>
      </w:tr>
      <w:tr>
        <w:tc>
          <w:tcPr>
            <w:tcW w:type="dxa" w:w="2448"/>
          </w:tcPr>
          <w:p>
            <w:r>
              <w:t>Brand / athlete verification</w:t>
            </w:r>
          </w:p>
        </w:tc>
        <w:tc>
          <w:tcPr>
            <w:tcW w:type="dxa" w:w="6480"/>
          </w:tcPr>
          <w:p>
            <w:r>
              <w:t>Neither brand_profiles nor athlete_profiles has a verification column. See §7.4 — this blocked two filter controls.</w:t>
            </w:r>
          </w:p>
        </w:tc>
      </w:tr>
    </w:tbl>
    <w:p/>
    <w:p>
      <w:pPr>
        <w:pStyle w:val="Heading1"/>
      </w:pPr>
      <w:r>
        <w:t>5. Deliberately not started: the Phase 4 epic</w:t>
      </w:r>
    </w:p>
    <w:p>
      <w:r>
        <w:rPr>
          <w:b w:val="0"/>
          <w:i w:val="0"/>
        </w:rPr>
        <w:t>We stopped at the end of Phase 3 by design, following the specification's own sequencing and its explicit warning that PR-1, PR-2, PR-13 and PR-14 “together describe a substantial evolution of the matching/listings model and should be scoped as a dedicated design+build epic, not folded into the launch fixes.” Four of them are marked Effort: Large.</w:t>
      </w:r>
    </w:p>
    <w:p>
      <w:r>
        <w:rPr>
          <w:b w:val="0"/>
          <w:i w:val="0"/>
        </w:rPr>
        <w:t>Not started: PR-1 (ranking), PR-2 (listings model), PR-4 (context-aware outreach), PR-11 (shortlist in listing context), PR-13 (two-sided matching), PR-14 (taxonomies), PR-21 (opportunity detail), PR-22 (feed composition).</w:t>
      </w:r>
    </w:p>
    <w:p>
      <w:r>
        <w:rPr>
          <w:b w:val="0"/>
          <w:i w:val="0"/>
        </w:rPr>
        <w:t>A related reason for stopping: each of these needs new tables. Stacking a listings-model redesign on top of 21 migrations that have not yet been executed would mean debugging both at once on the first push.</w:t>
      </w:r>
    </w:p>
    <w:p>
      <w:r>
        <w:rPr>
          <w:b w:val="0"/>
          <w:i w:val="0"/>
        </w:rPr>
        <w:t>Phase 4 items that were completed, because they overlapped the launch gate: PR-3, PR-5, PR-7, PR-8, PR-15, PR-16, PR-17, PR-18, PR-19, PR-20, PR-23, and the FA-5 pagination that PR-1 depends on. The runway for the epic is clear.</w:t>
      </w:r>
    </w:p>
    <w:p>
      <w:pPr>
        <w:pStyle w:val="Heading1"/>
      </w:pPr>
      <w:r>
        <w:t>6. Implemented but not verifiable in this environment</w:t>
      </w:r>
    </w:p>
    <w:p>
      <w:r>
        <w:rPr>
          <w:b/>
          <w:color w:val="991B1B"/>
        </w:rPr>
        <w:t>21 database migrations have been written and none has ever been run.</w:t>
      </w:r>
    </w:p>
    <w:p>
      <w:r>
        <w:rPr>
          <w:b w:val="0"/>
          <w:i w:val="0"/>
        </w:rPr>
        <w:t>There was no database available in this environment. Every migration — including the match-creation trigger, the RLS rewrites, eight SECURITY DEFINER functions and the GDPR erasure routine — was verified by careful reading only. The repository's migration tests are regular expressions over the SQL text: they prove the files say what we intended, and they cannot catch a syntax error, a missing column, a privilege failure or a policy that does not mean what it looks like.</w:t>
      </w:r>
    </w:p>
    <w:p>
      <w:r>
        <w:rPr>
          <w:b/>
          <w:i w:val="0"/>
        </w:rPr>
        <w:t>Before launch, someone must run these against a real database and exercise, at minimum:</w:t>
      </w:r>
    </w:p>
    <w:p>
      <w:pPr>
        <w:pStyle w:val="ListNumber"/>
      </w:pPr>
      <w:r>
        <w:t>supabase db reset applies all 21 migrations and the seed file without error.</w:t>
      </w:r>
    </w:p>
    <w:p>
      <w:pPr>
        <w:pStyle w:val="ListNumber"/>
      </w:pPr>
      <w:r>
        <w:t>Accepting a connection request creates exactly one match row (finding B-1 — the seed file is built so this fails loudly if the trigger regresses).</w:t>
      </w:r>
    </w:p>
    <w:p>
      <w:pPr>
        <w:pStyle w:val="ListNumber"/>
      </w:pPr>
      <w:r>
        <w:t>A proposal's sender cannot accept their own proposal, by any route, including a direct PostgREST call that rewrites sender_id.</w:t>
      </w:r>
    </w:p>
    <w:p>
      <w:pPr>
        <w:pStyle w:val="ListNumber"/>
      </w:pPr>
      <w:r>
        <w:t>erase_user_data is no longer executable by the anon role (§7.3).</w:t>
      </w:r>
    </w:p>
    <w:p>
      <w:pPr>
        <w:pStyle w:val="ListNumber"/>
      </w:pPr>
      <w:r>
        <w:t>The storage policy DDL is permitted for the migration role, or degrades to a warning rather than aborting.</w:t>
      </w:r>
    </w:p>
    <w:p>
      <w:pPr>
        <w:pStyle w:val="ListNumber"/>
      </w:pPr>
      <w:r>
        <w:t>The two conditional branches of the erasure routine: a brand with a subscription, and a match referenced by a retained contract.</w:t>
      </w:r>
    </w:p>
    <w:p>
      <w:r>
        <w:rPr>
          <w:b w:val="0"/>
          <w:i w:val="0"/>
        </w:rPr>
        <w:t>Similarly unverified: the Stripe webhook and reconciliation paths were built and unit-tested against a mocked Stripe client, but no live Stripe account was available. The concurrency behaviour of the webhook claim function is reasoned from Postgres ON CONFLICT semantics, not observed.</w:t>
      </w:r>
    </w:p>
    <w:p>
      <w:pPr>
        <w:pStyle w:val="Heading1"/>
      </w:pPr>
      <w:r>
        <w:t>7. Corrections to the specification</w:t>
      </w:r>
    </w:p>
    <w:p>
      <w:r>
        <w:rPr>
          <w:b w:val="0"/>
          <w:i w:val="0"/>
        </w:rPr>
        <w:t>Several findings did not match the live code. We fixed what was actually wrong and are recording the differences so your audit baseline can be corrected.</w:t>
      </w:r>
    </w:p>
    <w:p>
      <w:pPr>
        <w:pStyle w:val="Heading2"/>
      </w:pPr>
      <w:r>
        <w:t>7.1 A-3 — the contrast finding named the wrong colour pair</w:t>
      </w:r>
    </w:p>
    <w:p>
      <w:r>
        <w:rPr>
          <w:b w:val="0"/>
          <w:i w:val="0"/>
        </w:rPr>
        <w:t>The specification flags #4C566A on #FAFAFC at 13px as a possible AA failure. Measured, that pair is 7.08:1 and passes comfortably. The real failures were elsewhere, and worse: white on the primary token measured 4.03:1 — below the 4.5:1 threshold, and that is every primary button label in the application. The warning token was 3.49:1 and destructive 3.92:1. All are now between 5.02:1 and 6.11:1, in both light and dark themes, with a test that recomputes every token pair from the stylesheet on each run so a future edit cannot silently regress it.</w:t>
      </w:r>
    </w:p>
    <w:p>
      <w:pPr>
        <w:pStyle w:val="Heading2"/>
      </w:pPr>
      <w:r>
        <w:t>7.2 PR-19 — three root causes, not one</w:t>
      </w:r>
    </w:p>
    <w:p>
      <w:r>
        <w:rPr>
          <w:b w:val="0"/>
          <w:i w:val="0"/>
        </w:rPr>
        <w:t>The specification asks whether “sending a connection request does not work” is fully explained by B-1. It is not. There were three independent causes, and fixing B-1 alone would have left the flow broken:</w:t>
      </w:r>
    </w:p>
    <w:p>
      <w:pPr>
        <w:pStyle w:val="ListBullet"/>
      </w:pPr>
      <w:r>
        <w:t>The missing match trigger (B-1), as suspected.</w:t>
      </w:r>
    </w:p>
    <w:p>
      <w:pPr>
        <w:pStyle w:val="ListBullet"/>
      </w:pPr>
      <w:r>
        <w:t>Listing cards posted job_listings.brand_id as the recipient, but connection_requests.recipient_id is a foreign key to users.id. Every send violated the constraint. These are different identifiers for the same brand.</w:t>
      </w:r>
    </w:p>
    <w:p>
      <w:pPr>
        <w:pStyle w:val="ListBullet"/>
      </w:pPr>
      <w:r>
        <w:t>The composer required a message of at least 300 characters while the server rejected anything over 300. Only an exactly-300-character message could ever be sent. This is the “limit logic is backwards” note in PR-8, and it was a hard blocker rather than a polish item.</w:t>
      </w:r>
    </w:p>
    <w:p>
      <w:pPr>
        <w:pStyle w:val="Heading2"/>
      </w:pPr>
      <w:r>
        <w:t>7.3 New critical finding: unauthenticated data destruction</w:t>
      </w:r>
    </w:p>
    <w:p>
      <w:r>
        <w:rPr>
          <w:b/>
          <w:color w:val="991B1B"/>
        </w:rPr>
        <w:t>Not in the specification. Found during implementation review.</w:t>
      </w:r>
    </w:p>
    <w:p>
      <w:r>
        <w:rPr>
          <w:b w:val="0"/>
          <w:i w:val="0"/>
        </w:rPr>
        <w:t>The GDPR erasure functions were callable by the anon role. On Supabase, REVOKE ALL … FROM public does not do what it appears to: the platform bootstrap runs ALTER DEFAULT PRIVILEGES … GRANT ALL ON FUNCTIONS TO postgres, anon, authenticated, service_role, which leaves explicit per-role ACL entries that the revoke never touches. Neither function checked auth.uid(). With only the public anon key, a POST to /rest/v1/rpc/erase_user_data with any user's UUID would hard-delete that user's data and ban their auth row.</w:t>
      </w:r>
    </w:p>
    <w:p>
      <w:r>
        <w:rPr>
          <w:b w:val="0"/>
          <w:i w:val="0"/>
        </w:rPr>
        <w:t>Fixed by explicit revokes from anon and authenticated across every SECURITY DEFINER function added, plus an internal authorisation check as defence in depth. We flag it here because the same pattern will recur in any future migration that assumes REVOKE FROM public is sufficient.</w:t>
      </w:r>
    </w:p>
    <w:p>
      <w:pPr>
        <w:pStyle w:val="Heading2"/>
      </w:pPr>
      <w:r>
        <w:t>7.4 Controls removed rather than faked</w:t>
      </w:r>
    </w:p>
    <w:p>
      <w:r>
        <w:rPr>
          <w:b w:val="0"/>
          <w:i w:val="0"/>
        </w:rPr>
        <w:t>Two filter controls were removed rather than implemented, and we want that decision on the record because it is visible in the UI.</w:t>
      </w:r>
    </w:p>
    <w:p>
      <w:r>
        <w:rPr>
          <w:b w:val="0"/>
          <w:i w:val="0"/>
        </w:rPr>
        <w:t>The listings “Verified” facet and the brand grid's “Verified athletes only” checkbox both had no backing data: there is no verification column on brand_profiles or athlete_profiles. The brand grid's filter matched against a prop no page ever supplied, so ticking it always returned zero athletes. brand_profiles.status exists, but that is admin approval, not verification, and presenting it as verification would be a different inaccuracy. Add the columns and we will restore both controls.</w:t>
      </w:r>
    </w:p>
    <w:p>
      <w:r>
        <w:rPr>
          <w:b w:val="0"/>
          <w:i w:val="0"/>
        </w:rPr>
        <w:t>Related: the swipe “interested” action saves to the shortlist rather than sending a connection request, because a request requires a personalised message that a swipe cannot supply. The button is labelled “Save” so it states what it does.</w:t>
      </w:r>
    </w:p>
    <w:p>
      <w:pPr>
        <w:pStyle w:val="Heading2"/>
      </w:pPr>
      <w:r>
        <w:t>7.5 A pattern worth noting for future audits</w:t>
      </w:r>
    </w:p>
    <w:p>
      <w:r>
        <w:rPr>
          <w:b w:val="0"/>
          <w:i w:val="0"/>
        </w:rPr>
        <w:t>Five separate fixes in this codebase were correct, unit-tested components that no page imported — the filter group, the browse-mode toggle and swipe deck, the per-user rate-limit rule, the “Relevance” sort option (which was also the default), and an accordion focus fix that the FAQ bypassed by rendering the primitive directly. Unit tests passed on all five because each was tested in isolation. This is the same defect class as the dead ThemeToggle the specification opens with (NX-2), recreated five times. All are now wired. We would suggest “is it imported by a page that renders it?” as a standing check before accepting any UI finding as closed.</w:t>
      </w:r>
    </w:p>
    <w:p>
      <w:pPr>
        <w:pStyle w:val="Heading1"/>
      </w:pPr>
      <w:r>
        <w:t>8. What we need from you</w:t>
      </w:r>
    </w:p>
    <w:p>
      <w:r>
        <w:rPr>
          <w:b/>
          <w:i w:val="0"/>
        </w:rPr>
        <w:t>In priority order:</w:t>
      </w:r>
    </w:p>
    <w:p>
      <w:pPr>
        <w:pStyle w:val="ListNumber"/>
      </w:pPr>
      <w:r>
        <w:t>The missing sections 3, 4 and 5 — ideally the original audit or an export that preserves tables. This is the biggest single unblocker; roughly thirty findings currently rest on our reconstruction of their intent rather than your acceptance criteria.</w:t>
      </w:r>
    </w:p>
    <w:p>
      <w:pPr>
        <w:pStyle w:val="ListNumber"/>
      </w:pPr>
      <w:r>
        <w:t>Write-ups for the eight name-only findings listed in §2.1, or confirmation that they are dropped.</w:t>
      </w:r>
    </w:p>
    <w:p>
      <w:pPr>
        <w:pStyle w:val="ListNumber"/>
      </w:pPr>
      <w:r>
        <w:t>The product decisions in §4, if the Phase 4 epic is to start.</w:t>
      </w:r>
    </w:p>
    <w:p>
      <w:pPr>
        <w:pStyle w:val="ListNumber"/>
      </w:pPr>
      <w:r>
        <w:t>Confirmation of who runs the migrations against a staging database, and when (§6). Nothing else should ship before that happens.</w:t>
      </w:r>
    </w:p>
    <w:p>
      <w:pPr>
        <w:pStyle w:val="ListNumber"/>
      </w:pPr>
      <w:r>
        <w:t>Legal review of the Terms, Privacy and Cookie pages. These are engineering drafts, marked as such on the pages themselves, and must be reviewed by a solicitor qualified in England and Wales before any live user accepts them.</w:t>
      </w:r>
    </w:p>
    <w:p>
      <w:pPr>
        <w:pStyle w:val="ListNumber"/>
      </w:pPr>
      <w:r>
        <w:t>For email (now built, §3): a verified sending domain in Resend, and the RESEND_API_KEY / EMAIL_FROM / UNSUBSCRIBE_SECRET environment values. Until they are set the layer runs but delivers nothing. And a decision on where a contract-signing action should live, so B-9 can be wired to it.</w:t>
      </w:r>
    </w:p>
    <w:p>
      <w:pPr>
        <w:pStyle w:val="ListNumber"/>
      </w:pPr>
      <w:r>
        <w:t>Environment secrets set in deployment: CRON_SECRET (the scheduled jobs fail closed without it, so the GDPR erasure job would 401 on every run and never erase anything), plus the email values above.</w:t>
      </w:r>
    </w:p>
    <w:p/>
    <w:p>
      <w:r>
        <w:rPr>
          <w:b w:val="0"/>
          <w:i/>
        </w:rPr>
        <w:t>Happy to walk through any of the above, or to prioritise differently if your view of the launch gate differs from 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Podium - Implementation Response</dc:title>
  <dc:subject/>
  <dc:creator>Implementing engineer</dc:creator>
  <cp:keywords/>
  <dc:description>generated by python-docx</dc:description>
  <cp:lastModifiedBy/>
  <cp:revision>1</cp:revision>
  <dcterms:created xsi:type="dcterms:W3CDTF">2013-12-23T23:15:00Z</dcterms:created>
  <dcterms:modified xsi:type="dcterms:W3CDTF">2013-12-23T23:15:00Z</dcterms:modified>
  <cp:category/>
</cp:coreProperties>
</file>