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0D8D">
      <w:pPr>
        <w:jc w:val="left"/>
        <w:outlineLvl w:val="9"/>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3CA0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noWrap w:val="0"/>
            <w:vAlign w:val="center"/>
          </w:tcPr>
          <w:p w14:paraId="540DD748">
            <w:pPr>
              <w:jc w:val="center"/>
              <w:rPr>
                <w:rFonts w:hint="eastAsia"/>
              </w:rPr>
            </w:pPr>
            <w:r>
              <w:t>队伍编号</w:t>
            </w:r>
          </w:p>
        </w:tc>
        <w:tc>
          <w:tcPr>
            <w:tcW w:w="2217" w:type="dxa"/>
            <w:noWrap w:val="0"/>
            <w:vAlign w:val="center"/>
          </w:tcPr>
          <w:p w14:paraId="00EF3B99">
            <w:pPr>
              <w:jc w:val="center"/>
              <w:rPr>
                <w:rFonts w:hint="default" w:eastAsia="宋体"/>
                <w:lang w:val="en-US" w:eastAsia="zh-CN"/>
              </w:rPr>
            </w:pPr>
            <w:r>
              <w:rPr>
                <w:rFonts w:ascii="Times New Roman" w:hAnsi="Times New Roman" w:eastAsia="宋体" w:cs="Times New Roman"/>
              </w:rPr>
              <w:t>MC</w:t>
            </w:r>
            <w:r>
              <w:rPr>
                <w:rFonts w:hint="eastAsia" w:ascii="Times New Roman" w:hAnsi="Times New Roman" w:eastAsia="宋体" w:cs="Times New Roman"/>
                <w:lang w:val="en-US" w:eastAsia="zh-CN"/>
              </w:rPr>
              <w:t>2603771</w:t>
            </w:r>
          </w:p>
        </w:tc>
      </w:tr>
      <w:tr w14:paraId="0B6A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noWrap w:val="0"/>
            <w:vAlign w:val="center"/>
          </w:tcPr>
          <w:p w14:paraId="5F1F12CB">
            <w:pPr>
              <w:jc w:val="center"/>
              <w:rPr>
                <w:rFonts w:hint="eastAsia"/>
              </w:rPr>
            </w:pPr>
            <w:r>
              <w:t>题号</w:t>
            </w:r>
          </w:p>
        </w:tc>
        <w:tc>
          <w:tcPr>
            <w:tcW w:w="2217" w:type="dxa"/>
            <w:noWrap w:val="0"/>
            <w:vAlign w:val="center"/>
          </w:tcPr>
          <w:p w14:paraId="197B79F3">
            <w:pPr>
              <w:jc w:val="center"/>
              <w:rPr>
                <w:rFonts w:hint="eastAsia" w:eastAsia="宋体"/>
                <w:lang w:val="en-US" w:eastAsia="zh-CN"/>
              </w:rPr>
            </w:pPr>
            <w:r>
              <w:rPr>
                <w:rFonts w:hint="eastAsia"/>
                <w:lang w:val="en-US" w:eastAsia="zh-CN"/>
              </w:rPr>
              <w:t>C</w:t>
            </w:r>
          </w:p>
        </w:tc>
      </w:tr>
    </w:tbl>
    <w:p w14:paraId="7BB2721E"/>
    <w:p w14:paraId="7EE52264">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9525" r="3810" b="13335"/>
                <wp:wrapNone/>
                <wp:docPr id="4" name="直接连接符 4"/>
                <wp:cNvGraphicFramePr/>
                <a:graphic xmlns:a="http://schemas.openxmlformats.org/drawingml/2006/main">
                  <a:graphicData uri="http://schemas.microsoft.com/office/word/2010/wordprocessingShape">
                    <wps:wsp>
                      <wps:cNvCnPr/>
                      <wps:spPr>
                        <a:xfrm>
                          <a:off x="0" y="0"/>
                          <a:ext cx="522360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2.65pt;margin-top:7.75pt;height:0pt;width:411.3pt;z-index:251659264;mso-width-relative:page;mso-height-relative:page;" filled="f" stroked="t" coordsize="21600,21600" o:gfxdata="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0LQFX0wAA&#10;AAcBAAAPAAAAAAAAAAEAIAAAACIAAABkcnMvZG93bnJldi54bWxQSwECFAAUAAAACACHTuJA8f6m&#10;TOoBAAC9AwAADgAAAAAAAAABACAAAAAiAQAAZHJzL2Uyb0RvYy54bWxQSwUGAAAAAAYABgBZAQAA&#10;fgUAAAAA&#10;">
                <v:fill on="f" focussize="0,0"/>
                <v:stroke weight="1.5pt" color="#000000" joinstyle="round"/>
                <v:imagedata o:title=""/>
                <o:lock v:ext="edit" aspectratio="f"/>
              </v:line>
            </w:pict>
          </mc:Fallback>
        </mc:AlternateContent>
      </w:r>
    </w:p>
    <w:p w14:paraId="135D813A">
      <w:pPr>
        <w:jc w:val="center"/>
        <w:rPr>
          <w:rFonts w:hint="eastAsia" w:ascii="Times New Roman" w:hAnsi="Times New Roman"/>
          <w:sz w:val="28"/>
          <w:szCs w:val="24"/>
        </w:rPr>
      </w:pPr>
      <w:r>
        <w:rPr>
          <w:rFonts w:hint="eastAsia" w:ascii="Times New Roman" w:hAnsi="Times New Roman"/>
          <w:sz w:val="28"/>
          <w:szCs w:val="24"/>
        </w:rPr>
        <w:t>基于集成学习与多目标优化的中老年高血脂症精准防控方法研究</w:t>
      </w:r>
    </w:p>
    <w:p w14:paraId="75057DB6">
      <w:pPr>
        <w:jc w:val="center"/>
        <w:outlineLvl w:val="0"/>
        <w:rPr>
          <w:rFonts w:hint="eastAsia" w:ascii="Times New Roman" w:hAnsi="Times New Roman"/>
          <w:color w:val="000000"/>
          <w:sz w:val="24"/>
          <w:szCs w:val="24"/>
        </w:rPr>
      </w:pPr>
      <w:bookmarkStart w:id="0" w:name="_Toc21567"/>
      <w:bookmarkStart w:id="1" w:name="_Toc22350"/>
      <w:r>
        <w:rPr>
          <w:rFonts w:hint="eastAsia" w:ascii="Times New Roman" w:hAnsi="Times New Roman"/>
          <w:color w:val="000000"/>
          <w:sz w:val="24"/>
          <w:szCs w:val="24"/>
        </w:rPr>
        <w:t>摘</w:t>
      </w:r>
      <w:r>
        <w:rPr>
          <w:rFonts w:ascii="Times New Roman" w:hAnsi="Times New Roman"/>
          <w:color w:val="000000"/>
          <w:sz w:val="24"/>
          <w:szCs w:val="24"/>
        </w:rPr>
        <w:t xml:space="preserve"> </w:t>
      </w:r>
      <w:r>
        <w:rPr>
          <w:rFonts w:hint="eastAsia" w:ascii="Times New Roman" w:hAnsi="Times New Roman"/>
          <w:color w:val="000000"/>
          <w:sz w:val="24"/>
          <w:szCs w:val="24"/>
        </w:rPr>
        <w:t>要</w:t>
      </w:r>
      <w:bookmarkEnd w:id="0"/>
      <w:bookmarkEnd w:id="1"/>
    </w:p>
    <w:p w14:paraId="291FCC15">
      <w:pPr>
        <w:ind w:firstLine="480" w:firstLineChars="200"/>
        <w:rPr>
          <w:rFonts w:hint="eastAsia"/>
          <w:color w:val="000000"/>
          <w:sz w:val="24"/>
          <w:szCs w:val="24"/>
        </w:rPr>
      </w:pPr>
      <w:r>
        <w:rPr>
          <w:rFonts w:hint="eastAsia"/>
          <w:color w:val="000000"/>
          <w:sz w:val="24"/>
          <w:szCs w:val="24"/>
        </w:rPr>
        <w:t>针对中老年人群高血脂症防控中“体质难量化、风险难分层、干预难个性化”的问题，本文基于</w:t>
      </w:r>
      <w:r>
        <w:rPr>
          <w:rFonts w:hint="eastAsia"/>
          <w:b/>
          <w:bCs/>
          <w:color w:val="000000"/>
          <w:sz w:val="24"/>
          <w:szCs w:val="24"/>
        </w:rPr>
        <w:t>中医体质理论与西医生化指标融合</w:t>
      </w:r>
      <w:r>
        <w:rPr>
          <w:rFonts w:hint="eastAsia"/>
          <w:color w:val="000000"/>
          <w:sz w:val="24"/>
          <w:szCs w:val="24"/>
        </w:rPr>
        <w:t>，构建</w:t>
      </w:r>
      <w:r>
        <w:rPr>
          <w:rFonts w:hint="eastAsia"/>
          <w:b/>
          <w:bCs/>
          <w:color w:val="000000"/>
          <w:sz w:val="24"/>
          <w:szCs w:val="24"/>
        </w:rPr>
        <w:t>多维度统计建模框架</w:t>
      </w:r>
      <w:r>
        <w:rPr>
          <w:rFonts w:hint="eastAsia"/>
          <w:color w:val="000000"/>
          <w:sz w:val="24"/>
          <w:szCs w:val="24"/>
        </w:rPr>
        <w:t>，实现风险预警与干预优化。</w:t>
      </w:r>
    </w:p>
    <w:p w14:paraId="12B66446">
      <w:pPr>
        <w:ind w:firstLine="480" w:firstLineChars="200"/>
        <w:rPr>
          <w:rFonts w:hint="eastAsia"/>
          <w:color w:val="000000"/>
          <w:sz w:val="24"/>
          <w:szCs w:val="24"/>
        </w:rPr>
      </w:pPr>
      <w:r>
        <w:rPr>
          <w:rFonts w:hint="eastAsia"/>
          <w:color w:val="000000"/>
          <w:sz w:val="24"/>
          <w:szCs w:val="24"/>
        </w:rPr>
        <w:t>首先，针对关键指标筛选问题，构建</w:t>
      </w:r>
      <w:r>
        <w:rPr>
          <w:rFonts w:hint="eastAsia"/>
          <w:b/>
          <w:bCs/>
          <w:color w:val="000000"/>
          <w:sz w:val="24"/>
          <w:szCs w:val="24"/>
        </w:rPr>
        <w:t>LASSO回归与随机森林双模型</w:t>
      </w:r>
      <w:r>
        <w:rPr>
          <w:rFonts w:hint="eastAsia"/>
          <w:color w:val="000000"/>
          <w:sz w:val="24"/>
          <w:szCs w:val="24"/>
        </w:rPr>
        <w:t>，通过</w:t>
      </w:r>
      <w:r>
        <w:rPr>
          <w:rFonts w:hint="eastAsia"/>
          <w:b/>
          <w:bCs/>
          <w:color w:val="000000"/>
          <w:sz w:val="24"/>
          <w:szCs w:val="24"/>
        </w:rPr>
        <w:t>特征重要性融合方法</w:t>
      </w:r>
      <w:r>
        <w:rPr>
          <w:rFonts w:hint="eastAsia"/>
          <w:color w:val="000000"/>
          <w:sz w:val="24"/>
          <w:szCs w:val="24"/>
        </w:rPr>
        <w:t>，筛选出总胆固醇（TC）、甘油三酯（TG）、低密度脂蛋白（LDL-C）、高密度脂蛋白（HDL-C）及空腹血糖等核心指标，实现对痰湿体质表征与高血脂风险预警的统一刻画。进一步建立</w:t>
      </w:r>
      <w:r>
        <w:rPr>
          <w:rFonts w:hint="eastAsia"/>
          <w:b/>
          <w:bCs/>
          <w:color w:val="000000"/>
          <w:sz w:val="24"/>
          <w:szCs w:val="24"/>
        </w:rPr>
        <w:t>多元Logistic回归模型</w:t>
      </w:r>
      <w:r>
        <w:rPr>
          <w:rFonts w:hint="eastAsia"/>
          <w:color w:val="000000"/>
          <w:sz w:val="24"/>
          <w:szCs w:val="24"/>
        </w:rPr>
        <w:t>，分析九种中医体质对发病风险的贡献，结果表明体质对高血脂的影响以间接作用为主。</w:t>
      </w:r>
    </w:p>
    <w:p w14:paraId="2644CB6D">
      <w:pPr>
        <w:ind w:firstLine="480" w:firstLineChars="200"/>
        <w:rPr>
          <w:rFonts w:hint="eastAsia"/>
          <w:color w:val="000000"/>
          <w:sz w:val="24"/>
          <w:szCs w:val="24"/>
        </w:rPr>
      </w:pPr>
      <w:r>
        <w:rPr>
          <w:rFonts w:hint="eastAsia"/>
          <w:color w:val="000000"/>
          <w:sz w:val="24"/>
          <w:szCs w:val="24"/>
        </w:rPr>
        <w:t>其次，在风险预警方面，</w:t>
      </w:r>
      <w:r>
        <w:rPr>
          <w:rFonts w:hint="eastAsia"/>
          <w:b/>
          <w:bCs/>
          <w:color w:val="000000"/>
          <w:sz w:val="24"/>
          <w:szCs w:val="24"/>
        </w:rPr>
        <w:t>融合体质、血常规、活动能力及人口学特征</w:t>
      </w:r>
      <w:r>
        <w:rPr>
          <w:rFonts w:hint="eastAsia"/>
          <w:color w:val="000000"/>
          <w:sz w:val="24"/>
          <w:szCs w:val="24"/>
        </w:rPr>
        <w:t>，构建</w:t>
      </w:r>
      <w:r>
        <w:rPr>
          <w:rFonts w:hint="eastAsia"/>
          <w:b/>
          <w:bCs/>
          <w:color w:val="000000"/>
          <w:sz w:val="24"/>
          <w:szCs w:val="24"/>
        </w:rPr>
        <w:t>逻辑回归概率预测模型</w:t>
      </w:r>
      <w:r>
        <w:rPr>
          <w:rFonts w:hint="eastAsia"/>
          <w:color w:val="000000"/>
          <w:sz w:val="24"/>
          <w:szCs w:val="24"/>
        </w:rPr>
        <w:t>，并结合</w:t>
      </w:r>
      <w:r>
        <w:rPr>
          <w:rFonts w:hint="eastAsia"/>
          <w:b/>
          <w:bCs/>
          <w:color w:val="000000"/>
          <w:sz w:val="24"/>
          <w:szCs w:val="24"/>
        </w:rPr>
        <w:t>ROC曲线与分位数确定低—中—高三级风险分层阈值</w:t>
      </w:r>
      <w:r>
        <w:rPr>
          <w:rFonts w:hint="eastAsia"/>
          <w:color w:val="000000"/>
          <w:sz w:val="24"/>
          <w:szCs w:val="24"/>
        </w:rPr>
        <w:t>（AUC=0.9719）。利用</w:t>
      </w:r>
      <w:r>
        <w:rPr>
          <w:rFonts w:hint="eastAsia"/>
          <w:b/>
          <w:bCs/>
          <w:color w:val="000000"/>
          <w:sz w:val="24"/>
          <w:szCs w:val="24"/>
        </w:rPr>
        <w:t>决策树</w:t>
      </w:r>
      <w:r>
        <w:rPr>
          <w:rFonts w:hint="eastAsia"/>
          <w:color w:val="000000"/>
          <w:sz w:val="24"/>
          <w:szCs w:val="24"/>
        </w:rPr>
        <w:t>提取可解释判别规则，发现TG、TC及血尿酸为核心分层指标。同时基于</w:t>
      </w:r>
      <w:r>
        <w:rPr>
          <w:rFonts w:hint="eastAsia"/>
          <w:b/>
          <w:bCs/>
          <w:color w:val="000000"/>
          <w:sz w:val="24"/>
          <w:szCs w:val="24"/>
        </w:rPr>
        <w:t>Apriori算法</w:t>
      </w:r>
      <w:r>
        <w:rPr>
          <w:rFonts w:hint="eastAsia"/>
          <w:color w:val="000000"/>
          <w:sz w:val="24"/>
          <w:szCs w:val="24"/>
        </w:rPr>
        <w:t>挖掘高风险人群特征组合，识别出“饮酒+高TG”“老年+高TC”等关键高危模式。</w:t>
      </w:r>
    </w:p>
    <w:p w14:paraId="07FDF1F2">
      <w:pPr>
        <w:ind w:firstLine="480" w:firstLineChars="200"/>
        <w:rPr>
          <w:rFonts w:hint="eastAsia"/>
          <w:color w:val="000000"/>
          <w:sz w:val="24"/>
          <w:szCs w:val="24"/>
        </w:rPr>
      </w:pPr>
      <w:r>
        <w:rPr>
          <w:rFonts w:hint="eastAsia"/>
          <w:color w:val="000000"/>
          <w:sz w:val="24"/>
          <w:szCs w:val="24"/>
        </w:rPr>
        <w:t>最后，在干预优化方面，针对痰湿体质人群构建</w:t>
      </w:r>
      <w:r>
        <w:rPr>
          <w:rFonts w:hint="eastAsia"/>
          <w:b/>
          <w:bCs/>
          <w:color w:val="000000"/>
          <w:sz w:val="24"/>
          <w:szCs w:val="24"/>
        </w:rPr>
        <w:t>约束优化模型</w:t>
      </w:r>
      <w:r>
        <w:rPr>
          <w:rFonts w:hint="eastAsia"/>
          <w:color w:val="000000"/>
          <w:sz w:val="24"/>
          <w:szCs w:val="24"/>
        </w:rPr>
        <w:t>，以最小化痰湿积分与干预成本为目标，结合年龄与活动能力约束，通过穷举法求解个体最优方案。结果表明，模型可实现最高56.6%的痰湿积分下降，并总结出“强度优先、频率适配”的最优干预规律。</w:t>
      </w:r>
    </w:p>
    <w:p w14:paraId="0892466B">
      <w:pPr>
        <w:ind w:firstLine="480" w:firstLineChars="200"/>
        <w:rPr>
          <w:sz w:val="24"/>
          <w:szCs w:val="24"/>
        </w:rPr>
      </w:pPr>
      <w:r>
        <w:rPr>
          <w:rFonts w:hint="eastAsia"/>
          <w:color w:val="000000"/>
          <w:sz w:val="24"/>
          <w:szCs w:val="24"/>
        </w:rPr>
        <w:t>研究结果表明：血脂与血糖指标是连接中医体质与高血脂风险的核心桥梁，多维融合模型能够实现高精度风险预警与个性化干预，为中西医结合慢性病管理提供了有效的量化决策工具。</w:t>
      </w:r>
    </w:p>
    <w:p w14:paraId="40985C80">
      <w:pPr>
        <w:rPr>
          <w:sz w:val="24"/>
          <w:szCs w:val="24"/>
        </w:rPr>
      </w:pPr>
    </w:p>
    <w:p w14:paraId="204AEB08">
      <w:pPr>
        <w:rPr>
          <w:sz w:val="24"/>
          <w:szCs w:val="24"/>
        </w:rPr>
      </w:pPr>
    </w:p>
    <w:p w14:paraId="643C1DB9">
      <w:pPr>
        <w:rPr>
          <w:rFonts w:hint="eastAsia"/>
          <w:sz w:val="24"/>
          <w:szCs w:val="24"/>
        </w:rPr>
        <w:sectPr>
          <w:footerReference r:id="rId3" w:type="default"/>
          <w:pgSz w:w="11906" w:h="16838"/>
          <w:pgMar w:top="1134" w:right="1418" w:bottom="1134" w:left="1418" w:header="851" w:footer="992" w:gutter="0"/>
          <w:cols w:space="720" w:num="1"/>
          <w:docGrid w:type="lines" w:linePitch="312" w:charSpace="0"/>
        </w:sectPr>
      </w:pPr>
      <w:r>
        <w:rPr>
          <w:sz w:val="24"/>
          <w:szCs w:val="24"/>
        </w:rPr>
        <w:t>关键词：</w:t>
      </w:r>
      <w:r>
        <w:rPr>
          <w:rFonts w:hint="eastAsia"/>
          <w:sz w:val="24"/>
          <w:szCs w:val="24"/>
        </w:rPr>
        <w:t>高血脂症；痰湿体质；LASSO回归；随机森林；风险预警；Logistic回归；关联规则；优化模型</w:t>
      </w:r>
    </w:p>
    <w:sdt>
      <w:sdtPr>
        <w:rPr>
          <w:rFonts w:ascii="宋体" w:hAnsi="宋体" w:eastAsia="宋体" w:cs="Times New Roman"/>
          <w:kern w:val="2"/>
          <w:sz w:val="32"/>
          <w:szCs w:val="32"/>
          <w:lang w:val="en-US" w:eastAsia="zh-CN" w:bidi="ar-SA"/>
        </w:rPr>
        <w:id w:val="147473527"/>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12CC15E3">
          <w:pPr>
            <w:spacing w:before="0" w:beforeLines="0" w:after="0" w:afterLines="0" w:line="240" w:lineRule="auto"/>
            <w:ind w:left="0" w:leftChars="0" w:right="0" w:rightChars="0" w:firstLine="0" w:firstLineChars="0"/>
            <w:jc w:val="center"/>
          </w:pPr>
          <w:r>
            <w:rPr>
              <w:rFonts w:ascii="宋体" w:hAnsi="宋体" w:eastAsia="宋体"/>
              <w:sz w:val="32"/>
              <w:szCs w:val="32"/>
            </w:rPr>
            <w:t>目录</w:t>
          </w:r>
          <w:r>
            <w:rPr>
              <w:rFonts w:hint="eastAsia"/>
              <w:sz w:val="24"/>
              <w:szCs w:val="24"/>
              <w:lang w:val="en-US" w:eastAsia="zh-CN"/>
            </w:rPr>
            <w:fldChar w:fldCharType="begin"/>
          </w:r>
          <w:r>
            <w:rPr>
              <w:rFonts w:hint="eastAsia"/>
              <w:sz w:val="24"/>
              <w:szCs w:val="24"/>
              <w:lang w:val="en-US" w:eastAsia="zh-CN"/>
            </w:rPr>
            <w:instrText xml:space="preserve">TOC \o "1-3" \h \u </w:instrText>
          </w:r>
          <w:r>
            <w:rPr>
              <w:rFonts w:hint="eastAsia"/>
              <w:sz w:val="24"/>
              <w:szCs w:val="24"/>
              <w:lang w:val="en-US" w:eastAsia="zh-CN"/>
            </w:rPr>
            <w:fldChar w:fldCharType="separate"/>
          </w:r>
        </w:p>
        <w:p w14:paraId="538D3BAB">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_Toc23861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一、</w:t>
          </w:r>
          <w:r>
            <w:rPr>
              <w:rFonts w:hint="eastAsia"/>
              <w:bCs/>
              <w:szCs w:val="24"/>
              <w:lang w:val="en-US" w:eastAsia="zh-CN"/>
            </w:rPr>
            <w:t>问题背景</w:t>
          </w:r>
          <w:r>
            <w:tab/>
          </w:r>
          <w:r>
            <w:fldChar w:fldCharType="begin"/>
          </w:r>
          <w:r>
            <w:instrText xml:space="preserve"> PAGEREF _Toc23861 \h </w:instrText>
          </w:r>
          <w:r>
            <w:fldChar w:fldCharType="separate"/>
          </w:r>
          <w:r>
            <w:t>1</w:t>
          </w:r>
          <w:r>
            <w:fldChar w:fldCharType="end"/>
          </w:r>
          <w:r>
            <w:rPr>
              <w:rFonts w:hint="eastAsia"/>
              <w:szCs w:val="24"/>
              <w:lang w:val="en-US" w:eastAsia="zh-CN"/>
            </w:rPr>
            <w:fldChar w:fldCharType="end"/>
          </w:r>
        </w:p>
        <w:p w14:paraId="5E956569">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_Toc10613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二、</w:t>
          </w:r>
          <w:r>
            <w:rPr>
              <w:rFonts w:hint="eastAsia"/>
              <w:bCs/>
              <w:szCs w:val="24"/>
              <w:lang w:val="en-US" w:eastAsia="zh-CN"/>
            </w:rPr>
            <w:t>问题分析</w:t>
          </w:r>
          <w:r>
            <w:tab/>
          </w:r>
          <w:r>
            <w:fldChar w:fldCharType="begin"/>
          </w:r>
          <w:r>
            <w:instrText xml:space="preserve"> PAGEREF _Toc10613 \h </w:instrText>
          </w:r>
          <w:r>
            <w:fldChar w:fldCharType="separate"/>
          </w:r>
          <w:r>
            <w:t>1</w:t>
          </w:r>
          <w:r>
            <w:fldChar w:fldCharType="end"/>
          </w:r>
          <w:r>
            <w:rPr>
              <w:rFonts w:hint="eastAsia"/>
              <w:szCs w:val="24"/>
              <w:lang w:val="en-US" w:eastAsia="zh-CN"/>
            </w:rPr>
            <w:fldChar w:fldCharType="end"/>
          </w:r>
        </w:p>
        <w:p w14:paraId="63AD535B">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_Toc10057 </w:instrText>
          </w:r>
          <w:r>
            <w:rPr>
              <w:rFonts w:hint="eastAsia"/>
              <w:szCs w:val="24"/>
              <w:lang w:val="en-US" w:eastAsia="zh-CN"/>
            </w:rPr>
            <w:fldChar w:fldCharType="separate"/>
          </w:r>
          <w:r>
            <w:rPr>
              <w:rFonts w:hint="eastAsia"/>
              <w:bCs/>
              <w:szCs w:val="24"/>
              <w:lang w:val="en-US" w:eastAsia="zh-CN"/>
            </w:rPr>
            <w:t>三、 模型的假设</w:t>
          </w:r>
          <w:r>
            <w:tab/>
          </w:r>
          <w:r>
            <w:fldChar w:fldCharType="begin"/>
          </w:r>
          <w:r>
            <w:instrText xml:space="preserve"> PAGEREF _Toc10057 \h </w:instrText>
          </w:r>
          <w:r>
            <w:fldChar w:fldCharType="separate"/>
          </w:r>
          <w:r>
            <w:t>1</w:t>
          </w:r>
          <w:r>
            <w:fldChar w:fldCharType="end"/>
          </w:r>
          <w:r>
            <w:rPr>
              <w:rFonts w:hint="eastAsia"/>
              <w:szCs w:val="24"/>
              <w:lang w:val="en-US" w:eastAsia="zh-CN"/>
            </w:rPr>
            <w:fldChar w:fldCharType="end"/>
          </w:r>
        </w:p>
        <w:p w14:paraId="42D3CC7E">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_Toc20677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四、符号说明</w:t>
          </w:r>
          <w:r>
            <w:tab/>
          </w:r>
          <w:r>
            <w:fldChar w:fldCharType="begin"/>
          </w:r>
          <w:r>
            <w:instrText xml:space="preserve"> PAGEREF _Toc20677 \h </w:instrText>
          </w:r>
          <w:r>
            <w:fldChar w:fldCharType="separate"/>
          </w:r>
          <w:r>
            <w:t>2</w:t>
          </w:r>
          <w:r>
            <w:fldChar w:fldCharType="end"/>
          </w:r>
          <w:r>
            <w:rPr>
              <w:rFonts w:hint="eastAsia"/>
              <w:szCs w:val="24"/>
              <w:lang w:val="en-US" w:eastAsia="zh-CN"/>
            </w:rPr>
            <w:fldChar w:fldCharType="end"/>
          </w:r>
        </w:p>
        <w:p w14:paraId="2143BEE8">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_Toc19289 </w:instrText>
          </w:r>
          <w:r>
            <w:rPr>
              <w:rFonts w:hint="eastAsia"/>
              <w:szCs w:val="24"/>
              <w:lang w:val="en-US" w:eastAsia="zh-CN"/>
            </w:rPr>
            <w:fldChar w:fldCharType="separate"/>
          </w:r>
          <w:r>
            <w:rPr>
              <w:rFonts w:hint="eastAsia" w:cs="Times New Roman"/>
              <w:bCs/>
              <w:kern w:val="2"/>
              <w:szCs w:val="24"/>
              <w:lang w:val="en-US" w:eastAsia="zh-CN" w:bidi="ar-SA"/>
            </w:rPr>
            <w:t>五</w:t>
          </w:r>
          <w:r>
            <w:rPr>
              <w:rFonts w:hint="eastAsia" w:ascii="Times New Roman" w:hAnsi="Times New Roman" w:eastAsia="宋体" w:cs="Times New Roman"/>
              <w:bCs/>
              <w:kern w:val="2"/>
              <w:szCs w:val="24"/>
              <w:lang w:val="en-US" w:eastAsia="zh-CN" w:bidi="ar-SA"/>
            </w:rPr>
            <w:t>、</w:t>
          </w:r>
          <w:r>
            <w:rPr>
              <w:rFonts w:hint="eastAsia" w:ascii="Times New Roman" w:hAnsi="Times New Roman" w:eastAsia="宋体" w:cs="Times New Roman"/>
              <w:bCs/>
              <w:szCs w:val="24"/>
              <w:lang w:val="en-US" w:eastAsia="zh-CN"/>
            </w:rPr>
            <w:t>问题一模型的建立和求解</w:t>
          </w:r>
          <w:r>
            <w:tab/>
          </w:r>
          <w:r>
            <w:fldChar w:fldCharType="begin"/>
          </w:r>
          <w:r>
            <w:instrText xml:space="preserve"> PAGEREF _Toc19289 \h </w:instrText>
          </w:r>
          <w:r>
            <w:fldChar w:fldCharType="separate"/>
          </w:r>
          <w:r>
            <w:t>3</w:t>
          </w:r>
          <w:r>
            <w:fldChar w:fldCharType="end"/>
          </w:r>
          <w:r>
            <w:rPr>
              <w:rFonts w:hint="eastAsia"/>
              <w:szCs w:val="24"/>
              <w:lang w:val="en-US" w:eastAsia="zh-CN"/>
            </w:rPr>
            <w:fldChar w:fldCharType="end"/>
          </w:r>
        </w:p>
        <w:p w14:paraId="692C353E">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_Toc5807 </w:instrText>
          </w:r>
          <w:r>
            <w:rPr>
              <w:rFonts w:hint="eastAsia"/>
              <w:szCs w:val="24"/>
              <w:lang w:val="en-US" w:eastAsia="zh-CN"/>
            </w:rPr>
            <w:fldChar w:fldCharType="separate"/>
          </w:r>
          <w:r>
            <w:rPr>
              <w:rFonts w:hint="eastAsia" w:ascii="Times New Roman" w:hAnsi="Times New Roman" w:eastAsia="宋体" w:cs="Times New Roman"/>
              <w:szCs w:val="22"/>
            </w:rPr>
            <w:t>5.1 数据预处理与标准化</w:t>
          </w:r>
          <w:r>
            <w:tab/>
          </w:r>
          <w:r>
            <w:fldChar w:fldCharType="begin"/>
          </w:r>
          <w:r>
            <w:instrText xml:space="preserve"> PAGEREF _Toc5807 \h </w:instrText>
          </w:r>
          <w:r>
            <w:fldChar w:fldCharType="separate"/>
          </w:r>
          <w:r>
            <w:t>3</w:t>
          </w:r>
          <w:r>
            <w:fldChar w:fldCharType="end"/>
          </w:r>
          <w:r>
            <w:rPr>
              <w:rFonts w:hint="eastAsia"/>
              <w:szCs w:val="24"/>
              <w:lang w:val="en-US" w:eastAsia="zh-CN"/>
            </w:rPr>
            <w:fldChar w:fldCharType="end"/>
          </w:r>
        </w:p>
        <w:p w14:paraId="5130641B">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_Toc25324 </w:instrText>
          </w:r>
          <w:r>
            <w:rPr>
              <w:rFonts w:hint="eastAsia"/>
              <w:szCs w:val="24"/>
              <w:lang w:val="en-US" w:eastAsia="zh-CN"/>
            </w:rPr>
            <w:fldChar w:fldCharType="separate"/>
          </w:r>
          <w:r>
            <w:rPr>
              <w:rFonts w:hint="eastAsia" w:ascii="Times New Roman" w:hAnsi="Times New Roman" w:eastAsia="宋体" w:cs="Times New Roman"/>
              <w:szCs w:val="22"/>
            </w:rPr>
            <w:t>5.1.1 数据质量检验与可靠性分析</w:t>
          </w:r>
          <w:r>
            <w:tab/>
          </w:r>
          <w:r>
            <w:fldChar w:fldCharType="begin"/>
          </w:r>
          <w:r>
            <w:instrText xml:space="preserve"> PAGEREF _Toc25324 \h </w:instrText>
          </w:r>
          <w:r>
            <w:fldChar w:fldCharType="separate"/>
          </w:r>
          <w:r>
            <w:t>3</w:t>
          </w:r>
          <w:r>
            <w:fldChar w:fldCharType="end"/>
          </w:r>
          <w:r>
            <w:rPr>
              <w:rFonts w:hint="eastAsia"/>
              <w:szCs w:val="24"/>
              <w:lang w:val="en-US" w:eastAsia="zh-CN"/>
            </w:rPr>
            <w:fldChar w:fldCharType="end"/>
          </w:r>
        </w:p>
        <w:p w14:paraId="0E09B9E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_Toc5422 </w:instrText>
          </w:r>
          <w:r>
            <w:rPr>
              <w:rFonts w:hint="eastAsia"/>
              <w:szCs w:val="24"/>
              <w:lang w:val="en-US" w:eastAsia="zh-CN"/>
            </w:rPr>
            <w:fldChar w:fldCharType="separate"/>
          </w:r>
          <w:r>
            <w:rPr>
              <w:rFonts w:hint="eastAsia" w:ascii="Times New Roman" w:hAnsi="Times New Roman" w:eastAsia="宋体" w:cs="Times New Roman"/>
              <w:szCs w:val="22"/>
            </w:rPr>
            <w:t>5.1.2 极值化（Min-Max）归一化与正向化处理</w:t>
          </w:r>
          <w:r>
            <w:tab/>
          </w:r>
          <w:r>
            <w:fldChar w:fldCharType="begin"/>
          </w:r>
          <w:r>
            <w:instrText xml:space="preserve"> PAGEREF _Toc5422 \h </w:instrText>
          </w:r>
          <w:r>
            <w:fldChar w:fldCharType="separate"/>
          </w:r>
          <w:r>
            <w:t>3</w:t>
          </w:r>
          <w:r>
            <w:fldChar w:fldCharType="end"/>
          </w:r>
          <w:r>
            <w:rPr>
              <w:rFonts w:hint="eastAsia"/>
              <w:szCs w:val="24"/>
              <w:lang w:val="en-US" w:eastAsia="zh-CN"/>
            </w:rPr>
            <w:fldChar w:fldCharType="end"/>
          </w:r>
        </w:p>
        <w:p w14:paraId="63D5C03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_Toc5224 </w:instrText>
          </w:r>
          <w:r>
            <w:rPr>
              <w:rFonts w:hint="eastAsia"/>
              <w:szCs w:val="24"/>
              <w:lang w:val="en-US" w:eastAsia="zh-CN"/>
            </w:rPr>
            <w:fldChar w:fldCharType="separate"/>
          </w:r>
          <w:r>
            <w:rPr>
              <w:rFonts w:hint="eastAsia" w:ascii="Times New Roman" w:hAnsi="Times New Roman" w:eastAsia="宋体" w:cs="Times New Roman"/>
              <w:szCs w:val="22"/>
            </w:rPr>
            <w:t>5.1.3 变量处理规则</w:t>
          </w:r>
          <w:r>
            <w:tab/>
          </w:r>
          <w:r>
            <w:fldChar w:fldCharType="begin"/>
          </w:r>
          <w:r>
            <w:instrText xml:space="preserve"> PAGEREF _Toc5224 \h </w:instrText>
          </w:r>
          <w:r>
            <w:fldChar w:fldCharType="separate"/>
          </w:r>
          <w:r>
            <w:t>3</w:t>
          </w:r>
          <w:r>
            <w:fldChar w:fldCharType="end"/>
          </w:r>
          <w:r>
            <w:rPr>
              <w:rFonts w:hint="eastAsia"/>
              <w:szCs w:val="24"/>
              <w:lang w:val="en-US" w:eastAsia="zh-CN"/>
            </w:rPr>
            <w:fldChar w:fldCharType="end"/>
          </w:r>
        </w:p>
        <w:p w14:paraId="1BDE700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_Toc996 </w:instrText>
          </w:r>
          <w:r>
            <w:rPr>
              <w:rFonts w:hint="eastAsia"/>
              <w:szCs w:val="24"/>
              <w:lang w:val="en-US" w:eastAsia="zh-CN"/>
            </w:rPr>
            <w:fldChar w:fldCharType="separate"/>
          </w:r>
          <w:r>
            <w:rPr>
              <w:rFonts w:hint="eastAsia" w:ascii="Times New Roman" w:hAnsi="Times New Roman" w:eastAsia="宋体" w:cs="Times New Roman"/>
              <w:szCs w:val="22"/>
            </w:rPr>
            <w:t>5.1.4 选择Min-Max归一化的合理性分析</w:t>
          </w:r>
          <w:r>
            <w:tab/>
          </w:r>
          <w:r>
            <w:fldChar w:fldCharType="begin"/>
          </w:r>
          <w:r>
            <w:instrText xml:space="preserve"> PAGEREF _Toc996 \h </w:instrText>
          </w:r>
          <w:r>
            <w:fldChar w:fldCharType="separate"/>
          </w:r>
          <w:r>
            <w:t>3</w:t>
          </w:r>
          <w:r>
            <w:fldChar w:fldCharType="end"/>
          </w:r>
          <w:r>
            <w:rPr>
              <w:rFonts w:hint="eastAsia"/>
              <w:szCs w:val="24"/>
              <w:lang w:val="en-US" w:eastAsia="zh-CN"/>
            </w:rPr>
            <w:fldChar w:fldCharType="end"/>
          </w:r>
        </w:p>
        <w:p w14:paraId="50896A1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_Toc8292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 xml:space="preserve">5.2 </w:t>
          </w:r>
          <w:r>
            <w:rPr>
              <w:rFonts w:hint="eastAsia" w:cs="Times New Roman"/>
              <w:szCs w:val="22"/>
              <w:lang w:val="en-US" w:eastAsia="zh-CN"/>
            </w:rPr>
            <w:t>问题一第一小问的模型建立</w:t>
          </w:r>
          <w:r>
            <w:tab/>
          </w:r>
          <w:r>
            <w:fldChar w:fldCharType="begin"/>
          </w:r>
          <w:r>
            <w:instrText xml:space="preserve"> PAGEREF _Toc8292 \h </w:instrText>
          </w:r>
          <w:r>
            <w:fldChar w:fldCharType="separate"/>
          </w:r>
          <w:r>
            <w:t>4</w:t>
          </w:r>
          <w:r>
            <w:fldChar w:fldCharType="end"/>
          </w:r>
          <w:r>
            <w:rPr>
              <w:rFonts w:hint="eastAsia"/>
              <w:szCs w:val="24"/>
              <w:lang w:val="en-US" w:eastAsia="zh-CN"/>
            </w:rPr>
            <w:fldChar w:fldCharType="end"/>
          </w:r>
        </w:p>
        <w:p w14:paraId="332632A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_Toc12988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5.2.1</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痰湿体质严重程度：LASSO回归模型</w:t>
          </w:r>
          <w:r>
            <w:tab/>
          </w:r>
          <w:r>
            <w:fldChar w:fldCharType="begin"/>
          </w:r>
          <w:r>
            <w:instrText xml:space="preserve"> PAGEREF _Toc12988 \h </w:instrText>
          </w:r>
          <w:r>
            <w:fldChar w:fldCharType="separate"/>
          </w:r>
          <w:r>
            <w:t>4</w:t>
          </w:r>
          <w:r>
            <w:fldChar w:fldCharType="end"/>
          </w:r>
          <w:r>
            <w:rPr>
              <w:rFonts w:hint="eastAsia"/>
              <w:szCs w:val="24"/>
              <w:lang w:val="en-US" w:eastAsia="zh-CN"/>
            </w:rPr>
            <w:fldChar w:fldCharType="end"/>
          </w:r>
        </w:p>
        <w:p w14:paraId="2E4B2F8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_Toc2586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5.2.2</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高血脂发病风险：随机森林分类模型</w:t>
          </w:r>
          <w:r>
            <w:tab/>
          </w:r>
          <w:r>
            <w:fldChar w:fldCharType="begin"/>
          </w:r>
          <w:r>
            <w:instrText xml:space="preserve"> PAGEREF _Toc2586 \h </w:instrText>
          </w:r>
          <w:r>
            <w:fldChar w:fldCharType="separate"/>
          </w:r>
          <w:r>
            <w:t>4</w:t>
          </w:r>
          <w:r>
            <w:fldChar w:fldCharType="end"/>
          </w:r>
          <w:r>
            <w:rPr>
              <w:rFonts w:hint="eastAsia"/>
              <w:szCs w:val="24"/>
              <w:lang w:val="en-US" w:eastAsia="zh-CN"/>
            </w:rPr>
            <w:fldChar w:fldCharType="end"/>
          </w:r>
        </w:p>
        <w:p w14:paraId="7586EA4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_Toc18174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5.2.3</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综合筛选规则</w:t>
          </w:r>
          <w:r>
            <w:tab/>
          </w:r>
          <w:r>
            <w:fldChar w:fldCharType="begin"/>
          </w:r>
          <w:r>
            <w:instrText xml:space="preserve"> PAGEREF _Toc18174 \h </w:instrText>
          </w:r>
          <w:r>
            <w:fldChar w:fldCharType="separate"/>
          </w:r>
          <w:r>
            <w:t>4</w:t>
          </w:r>
          <w:r>
            <w:fldChar w:fldCharType="end"/>
          </w:r>
          <w:r>
            <w:rPr>
              <w:rFonts w:hint="eastAsia"/>
              <w:szCs w:val="24"/>
              <w:lang w:val="en-US" w:eastAsia="zh-CN"/>
            </w:rPr>
            <w:fldChar w:fldCharType="end"/>
          </w:r>
        </w:p>
        <w:p w14:paraId="6F3E6585">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_Toc15558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rPr>
            <w:t>.</w:t>
          </w:r>
          <w:r>
            <w:rPr>
              <w:rFonts w:hint="eastAsia" w:cs="Times New Roman"/>
              <w:szCs w:val="22"/>
              <w:lang w:val="en-US" w:eastAsia="zh-CN"/>
            </w:rPr>
            <w:t>3</w:t>
          </w:r>
          <w:r>
            <w:rPr>
              <w:rFonts w:hint="eastAsia" w:ascii="Times New Roman" w:hAnsi="Times New Roman" w:eastAsia="宋体" w:cs="Times New Roman"/>
              <w:szCs w:val="22"/>
            </w:rPr>
            <w:t xml:space="preserve"> 理论分析</w:t>
          </w:r>
          <w:r>
            <w:tab/>
          </w:r>
          <w:r>
            <w:fldChar w:fldCharType="begin"/>
          </w:r>
          <w:r>
            <w:instrText xml:space="preserve"> PAGEREF _Toc15558 \h </w:instrText>
          </w:r>
          <w:r>
            <w:fldChar w:fldCharType="separate"/>
          </w:r>
          <w:r>
            <w:t>5</w:t>
          </w:r>
          <w:r>
            <w:fldChar w:fldCharType="end"/>
          </w:r>
          <w:r>
            <w:rPr>
              <w:rFonts w:hint="eastAsia"/>
              <w:szCs w:val="24"/>
              <w:lang w:val="en-US" w:eastAsia="zh-CN"/>
            </w:rPr>
            <w:fldChar w:fldCharType="end"/>
          </w:r>
        </w:p>
        <w:p w14:paraId="3F043CF4">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_Toc13764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rPr>
            <w:t>.</w:t>
          </w:r>
          <w:r>
            <w:rPr>
              <w:rFonts w:hint="eastAsia" w:cs="Times New Roman"/>
              <w:szCs w:val="22"/>
              <w:lang w:val="en-US" w:eastAsia="zh-CN"/>
            </w:rPr>
            <w:t>4</w:t>
          </w:r>
          <w:r>
            <w:rPr>
              <w:rFonts w:hint="eastAsia" w:ascii="Times New Roman" w:hAnsi="Times New Roman" w:eastAsia="宋体" w:cs="Times New Roman"/>
              <w:szCs w:val="22"/>
            </w:rPr>
            <w:t xml:space="preserve"> 实验结果与分析</w:t>
          </w:r>
          <w:r>
            <w:tab/>
          </w:r>
          <w:r>
            <w:fldChar w:fldCharType="begin"/>
          </w:r>
          <w:r>
            <w:instrText xml:space="preserve"> PAGEREF _Toc13764 \h </w:instrText>
          </w:r>
          <w:r>
            <w:fldChar w:fldCharType="separate"/>
          </w:r>
          <w:r>
            <w:t>5</w:t>
          </w:r>
          <w:r>
            <w:fldChar w:fldCharType="end"/>
          </w:r>
          <w:r>
            <w:rPr>
              <w:rFonts w:hint="eastAsia"/>
              <w:szCs w:val="24"/>
              <w:lang w:val="en-US" w:eastAsia="zh-CN"/>
            </w:rPr>
            <w:fldChar w:fldCharType="end"/>
          </w:r>
        </w:p>
        <w:p w14:paraId="0AE0A71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_Toc23743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5.4.1</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LASSO回归结果</w:t>
          </w:r>
          <w:r>
            <w:tab/>
          </w:r>
          <w:r>
            <w:fldChar w:fldCharType="begin"/>
          </w:r>
          <w:r>
            <w:instrText xml:space="preserve"> PAGEREF _Toc23743 \h </w:instrText>
          </w:r>
          <w:r>
            <w:fldChar w:fldCharType="separate"/>
          </w:r>
          <w:r>
            <w:t>5</w:t>
          </w:r>
          <w:r>
            <w:fldChar w:fldCharType="end"/>
          </w:r>
          <w:r>
            <w:rPr>
              <w:rFonts w:hint="eastAsia"/>
              <w:szCs w:val="24"/>
              <w:lang w:val="en-US" w:eastAsia="zh-CN"/>
            </w:rPr>
            <w:fldChar w:fldCharType="end"/>
          </w:r>
        </w:p>
        <w:p w14:paraId="5D025FA5">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_Toc3868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5.4.2</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随机森林分类结果</w:t>
          </w:r>
          <w:r>
            <w:tab/>
          </w:r>
          <w:r>
            <w:fldChar w:fldCharType="begin"/>
          </w:r>
          <w:r>
            <w:instrText xml:space="preserve"> PAGEREF _Toc3868 \h </w:instrText>
          </w:r>
          <w:r>
            <w:fldChar w:fldCharType="separate"/>
          </w:r>
          <w:r>
            <w:t>6</w:t>
          </w:r>
          <w:r>
            <w:fldChar w:fldCharType="end"/>
          </w:r>
          <w:r>
            <w:rPr>
              <w:rFonts w:hint="eastAsia"/>
              <w:szCs w:val="24"/>
              <w:lang w:val="en-US" w:eastAsia="zh-CN"/>
            </w:rPr>
            <w:fldChar w:fldCharType="end"/>
          </w:r>
        </w:p>
        <w:p w14:paraId="40C9075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_Toc10887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 xml:space="preserve">5.4.3 </w:t>
          </w:r>
          <w:r>
            <w:rPr>
              <w:rFonts w:hint="eastAsia" w:ascii="Times New Roman" w:hAnsi="Times New Roman" w:eastAsia="宋体" w:cs="Times New Roman"/>
              <w:szCs w:val="22"/>
            </w:rPr>
            <w:t>综合筛选结果</w:t>
          </w:r>
          <w:r>
            <w:tab/>
          </w:r>
          <w:r>
            <w:fldChar w:fldCharType="begin"/>
          </w:r>
          <w:r>
            <w:instrText xml:space="preserve"> PAGEREF _Toc10887 \h </w:instrText>
          </w:r>
          <w:r>
            <w:fldChar w:fldCharType="separate"/>
          </w:r>
          <w:r>
            <w:t>7</w:t>
          </w:r>
          <w:r>
            <w:fldChar w:fldCharType="end"/>
          </w:r>
          <w:r>
            <w:rPr>
              <w:rFonts w:hint="eastAsia"/>
              <w:szCs w:val="24"/>
              <w:lang w:val="en-US" w:eastAsia="zh-CN"/>
            </w:rPr>
            <w:fldChar w:fldCharType="end"/>
          </w:r>
        </w:p>
        <w:p w14:paraId="6D6A6C71">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_Toc1904 </w:instrText>
          </w:r>
          <w:r>
            <w:rPr>
              <w:rFonts w:hint="eastAsia"/>
              <w:szCs w:val="24"/>
              <w:lang w:val="en-US" w:eastAsia="zh-CN"/>
            </w:rPr>
            <w:fldChar w:fldCharType="separate"/>
          </w:r>
          <w:r>
            <w:rPr>
              <w:rFonts w:hint="eastAsia" w:cs="Times New Roman"/>
              <w:szCs w:val="22"/>
              <w:lang w:val="en-US" w:eastAsia="zh-CN"/>
            </w:rPr>
            <w:t>5.5</w:t>
          </w:r>
          <w:r>
            <w:rPr>
              <w:rFonts w:hint="eastAsia" w:ascii="Times New Roman" w:hAnsi="Times New Roman" w:eastAsia="宋体" w:cs="Times New Roman"/>
              <w:szCs w:val="22"/>
            </w:rPr>
            <w:t xml:space="preserve"> </w:t>
          </w:r>
          <w:r>
            <w:rPr>
              <w:rFonts w:hint="eastAsia" w:cs="Times New Roman"/>
              <w:szCs w:val="22"/>
              <w:lang w:val="en-US" w:eastAsia="zh-CN"/>
            </w:rPr>
            <w:t>问题一第二小问的</w:t>
          </w:r>
          <w:r>
            <w:rPr>
              <w:rFonts w:hint="eastAsia" w:ascii="Times New Roman" w:hAnsi="Times New Roman" w:eastAsia="宋体" w:cs="Times New Roman"/>
              <w:szCs w:val="22"/>
            </w:rPr>
            <w:t>模型建立</w:t>
          </w:r>
          <w:r>
            <w:tab/>
          </w:r>
          <w:r>
            <w:fldChar w:fldCharType="begin"/>
          </w:r>
          <w:r>
            <w:instrText xml:space="preserve"> PAGEREF _Toc1904 \h </w:instrText>
          </w:r>
          <w:r>
            <w:fldChar w:fldCharType="separate"/>
          </w:r>
          <w:r>
            <w:t>8</w:t>
          </w:r>
          <w:r>
            <w:fldChar w:fldCharType="end"/>
          </w:r>
          <w:r>
            <w:rPr>
              <w:rFonts w:hint="eastAsia"/>
              <w:szCs w:val="24"/>
              <w:lang w:val="en-US" w:eastAsia="zh-CN"/>
            </w:rPr>
            <w:fldChar w:fldCharType="end"/>
          </w:r>
        </w:p>
        <w:p w14:paraId="65426E5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_Toc20261 </w:instrText>
          </w:r>
          <w:r>
            <w:rPr>
              <w:rFonts w:hint="eastAsia"/>
              <w:szCs w:val="24"/>
              <w:lang w:val="en-US" w:eastAsia="zh-CN"/>
            </w:rPr>
            <w:fldChar w:fldCharType="separate"/>
          </w:r>
          <w:r>
            <w:rPr>
              <w:rFonts w:hint="eastAsia" w:cs="Times New Roman"/>
              <w:szCs w:val="22"/>
              <w:lang w:val="en-US" w:eastAsia="zh-CN"/>
            </w:rPr>
            <w:t>5.6</w:t>
          </w:r>
          <w:r>
            <w:rPr>
              <w:rFonts w:hint="eastAsia" w:ascii="Times New Roman" w:hAnsi="Times New Roman" w:eastAsia="宋体" w:cs="Times New Roman"/>
              <w:szCs w:val="22"/>
            </w:rPr>
            <w:t xml:space="preserve"> 理论分析</w:t>
          </w:r>
          <w:r>
            <w:tab/>
          </w:r>
          <w:r>
            <w:fldChar w:fldCharType="begin"/>
          </w:r>
          <w:r>
            <w:instrText xml:space="preserve"> PAGEREF _Toc20261 \h </w:instrText>
          </w:r>
          <w:r>
            <w:fldChar w:fldCharType="separate"/>
          </w:r>
          <w:r>
            <w:t>8</w:t>
          </w:r>
          <w:r>
            <w:fldChar w:fldCharType="end"/>
          </w:r>
          <w:r>
            <w:rPr>
              <w:rFonts w:hint="eastAsia"/>
              <w:szCs w:val="24"/>
              <w:lang w:val="en-US" w:eastAsia="zh-CN"/>
            </w:rPr>
            <w:fldChar w:fldCharType="end"/>
          </w:r>
        </w:p>
        <w:p w14:paraId="5351EF40">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_Toc22755 </w:instrText>
          </w:r>
          <w:r>
            <w:rPr>
              <w:rFonts w:hint="eastAsia"/>
              <w:szCs w:val="24"/>
              <w:lang w:val="en-US" w:eastAsia="zh-CN"/>
            </w:rPr>
            <w:fldChar w:fldCharType="separate"/>
          </w:r>
          <w:r>
            <w:rPr>
              <w:rFonts w:hint="eastAsia" w:cs="Times New Roman"/>
              <w:szCs w:val="22"/>
              <w:lang w:val="en-US" w:eastAsia="zh-CN"/>
            </w:rPr>
            <w:t>5.7</w:t>
          </w:r>
          <w:r>
            <w:rPr>
              <w:rFonts w:hint="eastAsia" w:ascii="Times New Roman" w:hAnsi="Times New Roman" w:eastAsia="宋体" w:cs="Times New Roman"/>
              <w:szCs w:val="22"/>
            </w:rPr>
            <w:t xml:space="preserve"> 实验结果与分析</w:t>
          </w:r>
          <w:r>
            <w:tab/>
          </w:r>
          <w:r>
            <w:fldChar w:fldCharType="begin"/>
          </w:r>
          <w:r>
            <w:instrText xml:space="preserve"> PAGEREF _Toc22755 \h </w:instrText>
          </w:r>
          <w:r>
            <w:fldChar w:fldCharType="separate"/>
          </w:r>
          <w:r>
            <w:t>8</w:t>
          </w:r>
          <w:r>
            <w:fldChar w:fldCharType="end"/>
          </w:r>
          <w:r>
            <w:rPr>
              <w:rFonts w:hint="eastAsia"/>
              <w:szCs w:val="24"/>
              <w:lang w:val="en-US" w:eastAsia="zh-CN"/>
            </w:rPr>
            <w:fldChar w:fldCharType="end"/>
          </w:r>
        </w:p>
        <w:p w14:paraId="28454C6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_Toc25734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w:t>
          </w:r>
          <w:r>
            <w:rPr>
              <w:rFonts w:hint="eastAsia" w:ascii="Times New Roman" w:hAnsi="Times New Roman" w:eastAsia="宋体" w:cs="Times New Roman"/>
              <w:szCs w:val="22"/>
            </w:rPr>
            <w:t>.1 多重共线性检验（VIF）</w:t>
          </w:r>
          <w:r>
            <w:tab/>
          </w:r>
          <w:r>
            <w:fldChar w:fldCharType="begin"/>
          </w:r>
          <w:r>
            <w:instrText xml:space="preserve"> PAGEREF _Toc25734 \h </w:instrText>
          </w:r>
          <w:r>
            <w:fldChar w:fldCharType="separate"/>
          </w:r>
          <w:r>
            <w:t>8</w:t>
          </w:r>
          <w:r>
            <w:fldChar w:fldCharType="end"/>
          </w:r>
          <w:r>
            <w:rPr>
              <w:rFonts w:hint="eastAsia"/>
              <w:szCs w:val="24"/>
              <w:lang w:val="en-US" w:eastAsia="zh-CN"/>
            </w:rPr>
            <w:fldChar w:fldCharType="end"/>
          </w:r>
        </w:p>
        <w:p w14:paraId="57C6C2E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_Toc9400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w:t>
          </w:r>
          <w:r>
            <w:rPr>
              <w:rFonts w:hint="eastAsia" w:ascii="Times New Roman" w:hAnsi="Times New Roman" w:eastAsia="宋体" w:cs="Times New Roman"/>
              <w:szCs w:val="22"/>
            </w:rPr>
            <w:t>.2 模型整体效果评价</w:t>
          </w:r>
          <w:r>
            <w:tab/>
          </w:r>
          <w:r>
            <w:fldChar w:fldCharType="begin"/>
          </w:r>
          <w:r>
            <w:instrText xml:space="preserve"> PAGEREF _Toc9400 \h </w:instrText>
          </w:r>
          <w:r>
            <w:fldChar w:fldCharType="separate"/>
          </w:r>
          <w:r>
            <w:t>9</w:t>
          </w:r>
          <w:r>
            <w:fldChar w:fldCharType="end"/>
          </w:r>
          <w:r>
            <w:rPr>
              <w:rFonts w:hint="eastAsia"/>
              <w:szCs w:val="24"/>
              <w:lang w:val="en-US" w:eastAsia="zh-CN"/>
            </w:rPr>
            <w:fldChar w:fldCharType="end"/>
          </w:r>
        </w:p>
        <w:p w14:paraId="21A8236C">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_Toc25020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5.7.3</w:t>
          </w:r>
          <w:r>
            <w:rPr>
              <w:rFonts w:hint="eastAsia" w:ascii="Times New Roman" w:hAnsi="Times New Roman" w:eastAsia="宋体" w:cs="Times New Roman"/>
              <w:szCs w:val="22"/>
            </w:rPr>
            <w:t xml:space="preserve"> 九种体质贡献度排序与结果分析</w:t>
          </w:r>
          <w:r>
            <w:tab/>
          </w:r>
          <w:r>
            <w:fldChar w:fldCharType="begin"/>
          </w:r>
          <w:r>
            <w:instrText xml:space="preserve"> PAGEREF _Toc25020 \h </w:instrText>
          </w:r>
          <w:r>
            <w:fldChar w:fldCharType="separate"/>
          </w:r>
          <w:r>
            <w:t>9</w:t>
          </w:r>
          <w:r>
            <w:fldChar w:fldCharType="end"/>
          </w:r>
          <w:r>
            <w:rPr>
              <w:rFonts w:hint="eastAsia"/>
              <w:szCs w:val="24"/>
              <w:lang w:val="en-US" w:eastAsia="zh-CN"/>
            </w:rPr>
            <w:fldChar w:fldCharType="end"/>
          </w:r>
        </w:p>
        <w:p w14:paraId="1FC8EBCE">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_Toc32020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六、问题二模型的建立和求解</w:t>
          </w:r>
          <w:r>
            <w:tab/>
          </w:r>
          <w:r>
            <w:fldChar w:fldCharType="begin"/>
          </w:r>
          <w:r>
            <w:instrText xml:space="preserve"> PAGEREF _Toc32020 \h </w:instrText>
          </w:r>
          <w:r>
            <w:fldChar w:fldCharType="separate"/>
          </w:r>
          <w:r>
            <w:t>11</w:t>
          </w:r>
          <w:r>
            <w:fldChar w:fldCharType="end"/>
          </w:r>
          <w:r>
            <w:rPr>
              <w:rFonts w:hint="eastAsia"/>
              <w:szCs w:val="24"/>
              <w:lang w:val="en-US" w:eastAsia="zh-CN"/>
            </w:rPr>
            <w:fldChar w:fldCharType="end"/>
          </w:r>
        </w:p>
        <w:p w14:paraId="1BF994F6">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_Toc4685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1</w:t>
          </w:r>
          <w:r>
            <w:rPr>
              <w:rFonts w:hint="eastAsia" w:ascii="Times New Roman" w:hAnsi="Times New Roman" w:eastAsia="宋体" w:cs="Times New Roman"/>
              <w:szCs w:val="22"/>
              <w:lang w:eastAsia="zh-CN"/>
            </w:rPr>
            <w:t xml:space="preserve"> 子问题一：多维度融合风险预警模型构建</w:t>
          </w:r>
          <w:r>
            <w:tab/>
          </w:r>
          <w:r>
            <w:fldChar w:fldCharType="begin"/>
          </w:r>
          <w:r>
            <w:instrText xml:space="preserve"> PAGEREF _Toc4685 \h </w:instrText>
          </w:r>
          <w:r>
            <w:fldChar w:fldCharType="separate"/>
          </w:r>
          <w:r>
            <w:t>11</w:t>
          </w:r>
          <w:r>
            <w:fldChar w:fldCharType="end"/>
          </w:r>
          <w:r>
            <w:rPr>
              <w:rFonts w:hint="eastAsia"/>
              <w:szCs w:val="24"/>
              <w:lang w:val="en-US" w:eastAsia="zh-CN"/>
            </w:rPr>
            <w:fldChar w:fldCharType="end"/>
          </w:r>
        </w:p>
        <w:p w14:paraId="0E6808C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_Toc16782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.1 模型构建思路</w:t>
          </w:r>
          <w:r>
            <w:tab/>
          </w:r>
          <w:r>
            <w:fldChar w:fldCharType="begin"/>
          </w:r>
          <w:r>
            <w:instrText xml:space="preserve"> PAGEREF _Toc16782 \h </w:instrText>
          </w:r>
          <w:r>
            <w:fldChar w:fldCharType="separate"/>
          </w:r>
          <w:r>
            <w:t>11</w:t>
          </w:r>
          <w:r>
            <w:fldChar w:fldCharType="end"/>
          </w:r>
          <w:r>
            <w:rPr>
              <w:rFonts w:hint="eastAsia"/>
              <w:szCs w:val="24"/>
              <w:lang w:val="en-US" w:eastAsia="zh-CN"/>
            </w:rPr>
            <w:fldChar w:fldCharType="end"/>
          </w:r>
        </w:p>
        <w:p w14:paraId="1B8C2E2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_Toc14584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.2 逻辑回归概率预测模型</w:t>
          </w:r>
          <w:r>
            <w:tab/>
          </w:r>
          <w:r>
            <w:fldChar w:fldCharType="begin"/>
          </w:r>
          <w:r>
            <w:instrText xml:space="preserve"> PAGEREF _Toc14584 \h </w:instrText>
          </w:r>
          <w:r>
            <w:fldChar w:fldCharType="separate"/>
          </w:r>
          <w:r>
            <w:t>11</w:t>
          </w:r>
          <w:r>
            <w:fldChar w:fldCharType="end"/>
          </w:r>
          <w:r>
            <w:rPr>
              <w:rFonts w:hint="eastAsia"/>
              <w:szCs w:val="24"/>
              <w:lang w:val="en-US" w:eastAsia="zh-CN"/>
            </w:rPr>
            <w:fldChar w:fldCharType="end"/>
          </w:r>
        </w:p>
        <w:p w14:paraId="7D72113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_Toc3428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.3 三级风险阈值确定</w:t>
          </w:r>
          <w:r>
            <w:tab/>
          </w:r>
          <w:r>
            <w:fldChar w:fldCharType="begin"/>
          </w:r>
          <w:r>
            <w:instrText xml:space="preserve"> PAGEREF _Toc3428 \h </w:instrText>
          </w:r>
          <w:r>
            <w:fldChar w:fldCharType="separate"/>
          </w:r>
          <w:r>
            <w:t>12</w:t>
          </w:r>
          <w:r>
            <w:fldChar w:fldCharType="end"/>
          </w:r>
          <w:r>
            <w:rPr>
              <w:rFonts w:hint="eastAsia"/>
              <w:szCs w:val="24"/>
              <w:lang w:val="en-US" w:eastAsia="zh-CN"/>
            </w:rPr>
            <w:fldChar w:fldCharType="end"/>
          </w:r>
        </w:p>
        <w:p w14:paraId="2484031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_Toc16788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.4 决策树提取特征分层阈值规则</w:t>
          </w:r>
          <w:r>
            <w:tab/>
          </w:r>
          <w:r>
            <w:fldChar w:fldCharType="begin"/>
          </w:r>
          <w:r>
            <w:instrText xml:space="preserve"> PAGEREF _Toc16788 \h </w:instrText>
          </w:r>
          <w:r>
            <w:fldChar w:fldCharType="separate"/>
          </w:r>
          <w:r>
            <w:t>13</w:t>
          </w:r>
          <w:r>
            <w:fldChar w:fldCharType="end"/>
          </w:r>
          <w:r>
            <w:rPr>
              <w:rFonts w:hint="eastAsia"/>
              <w:szCs w:val="24"/>
              <w:lang w:val="en-US" w:eastAsia="zh-CN"/>
            </w:rPr>
            <w:fldChar w:fldCharType="end"/>
          </w:r>
        </w:p>
        <w:p w14:paraId="07A07D2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_Toc11353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w:t>
          </w:r>
          <w:r>
            <w:rPr>
              <w:rFonts w:hint="eastAsia" w:ascii="Times New Roman" w:hAnsi="Times New Roman" w:cs="Times New Roman"/>
              <w:szCs w:val="22"/>
              <w:lang w:val="en-US" w:eastAsia="zh-CN"/>
            </w:rPr>
            <w:t xml:space="preserve">5 </w:t>
          </w:r>
          <w:r>
            <w:rPr>
              <w:rFonts w:hint="eastAsia" w:ascii="Times New Roman" w:hAnsi="Times New Roman" w:eastAsia="宋体" w:cs="Times New Roman"/>
              <w:szCs w:val="22"/>
              <w:lang w:eastAsia="zh-CN"/>
            </w:rPr>
            <w:t>关键特征在各风险等级均值对比</w:t>
          </w:r>
          <w:r>
            <w:tab/>
          </w:r>
          <w:r>
            <w:fldChar w:fldCharType="begin"/>
          </w:r>
          <w:r>
            <w:instrText xml:space="preserve"> PAGEREF _Toc11353 \h </w:instrText>
          </w:r>
          <w:r>
            <w:fldChar w:fldCharType="separate"/>
          </w:r>
          <w:r>
            <w:t>14</w:t>
          </w:r>
          <w:r>
            <w:fldChar w:fldCharType="end"/>
          </w:r>
          <w:r>
            <w:rPr>
              <w:rFonts w:hint="eastAsia"/>
              <w:szCs w:val="24"/>
              <w:lang w:val="en-US" w:eastAsia="zh-CN"/>
            </w:rPr>
            <w:fldChar w:fldCharType="end"/>
          </w:r>
        </w:p>
        <w:p w14:paraId="205D82D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_Toc17143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.6</w:t>
          </w:r>
          <w:r>
            <w:rPr>
              <w:rFonts w:hint="eastAsia" w:cs="Times New Roman"/>
              <w:szCs w:val="22"/>
              <w:lang w:val="en-US" w:eastAsia="zh-CN"/>
            </w:rPr>
            <w:t xml:space="preserve">  </w:t>
          </w:r>
          <w:r>
            <w:rPr>
              <w:rFonts w:hint="eastAsia" w:ascii="Times New Roman" w:hAnsi="Times New Roman" w:eastAsia="宋体" w:cs="Times New Roman"/>
              <w:szCs w:val="22"/>
              <w:lang w:eastAsia="zh-CN"/>
            </w:rPr>
            <w:t>ROC曲线与最优阈值</w:t>
          </w:r>
          <w:r>
            <w:tab/>
          </w:r>
          <w:r>
            <w:fldChar w:fldCharType="begin"/>
          </w:r>
          <w:r>
            <w:instrText xml:space="preserve"> PAGEREF _Toc17143 \h </w:instrText>
          </w:r>
          <w:r>
            <w:fldChar w:fldCharType="separate"/>
          </w:r>
          <w:r>
            <w:t>15</w:t>
          </w:r>
          <w:r>
            <w:fldChar w:fldCharType="end"/>
          </w:r>
          <w:r>
            <w:rPr>
              <w:rFonts w:hint="eastAsia"/>
              <w:szCs w:val="24"/>
              <w:lang w:val="en-US" w:eastAsia="zh-CN"/>
            </w:rPr>
            <w:fldChar w:fldCharType="end"/>
          </w:r>
        </w:p>
        <w:p w14:paraId="3EC84D8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_Toc29576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.7 子问题一结论</w:t>
          </w:r>
          <w:r>
            <w:tab/>
          </w:r>
          <w:r>
            <w:fldChar w:fldCharType="begin"/>
          </w:r>
          <w:r>
            <w:instrText xml:space="preserve"> PAGEREF _Toc29576 \h </w:instrText>
          </w:r>
          <w:r>
            <w:fldChar w:fldCharType="separate"/>
          </w:r>
          <w:r>
            <w:t>16</w:t>
          </w:r>
          <w:r>
            <w:fldChar w:fldCharType="end"/>
          </w:r>
          <w:r>
            <w:rPr>
              <w:rFonts w:hint="eastAsia"/>
              <w:szCs w:val="24"/>
              <w:lang w:val="en-US" w:eastAsia="zh-CN"/>
            </w:rPr>
            <w:fldChar w:fldCharType="end"/>
          </w:r>
        </w:p>
        <w:p w14:paraId="266FB0BB">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_Toc22791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2</w:t>
          </w:r>
          <w:r>
            <w:rPr>
              <w:rFonts w:hint="eastAsia" w:ascii="Times New Roman" w:hAnsi="Times New Roman" w:eastAsia="宋体" w:cs="Times New Roman"/>
              <w:szCs w:val="22"/>
              <w:lang w:eastAsia="zh-CN"/>
            </w:rPr>
            <w:t xml:space="preserve"> 子问题二：痰湿体质高风险人群核心特征组合识别</w:t>
          </w:r>
          <w:r>
            <w:tab/>
          </w:r>
          <w:r>
            <w:fldChar w:fldCharType="begin"/>
          </w:r>
          <w:r>
            <w:instrText xml:space="preserve"> PAGEREF _Toc22791 \h </w:instrText>
          </w:r>
          <w:r>
            <w:fldChar w:fldCharType="separate"/>
          </w:r>
          <w:r>
            <w:t>16</w:t>
          </w:r>
          <w:r>
            <w:fldChar w:fldCharType="end"/>
          </w:r>
          <w:r>
            <w:rPr>
              <w:rFonts w:hint="eastAsia"/>
              <w:szCs w:val="24"/>
              <w:lang w:val="en-US" w:eastAsia="zh-CN"/>
            </w:rPr>
            <w:fldChar w:fldCharType="end"/>
          </w:r>
        </w:p>
        <w:p w14:paraId="49F117BC">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_Toc1445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.1 研究思路</w:t>
          </w:r>
          <w:r>
            <w:tab/>
          </w:r>
          <w:r>
            <w:fldChar w:fldCharType="begin"/>
          </w:r>
          <w:r>
            <w:instrText xml:space="preserve"> PAGEREF _Toc1445 \h </w:instrText>
          </w:r>
          <w:r>
            <w:fldChar w:fldCharType="separate"/>
          </w:r>
          <w:r>
            <w:t>16</w:t>
          </w:r>
          <w:r>
            <w:fldChar w:fldCharType="end"/>
          </w:r>
          <w:r>
            <w:rPr>
              <w:rFonts w:hint="eastAsia"/>
              <w:szCs w:val="24"/>
              <w:lang w:val="en-US" w:eastAsia="zh-CN"/>
            </w:rPr>
            <w:fldChar w:fldCharType="end"/>
          </w:r>
        </w:p>
        <w:p w14:paraId="48A9A1A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_Toc24676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.2 目标群体筛选</w:t>
          </w:r>
          <w:r>
            <w:tab/>
          </w:r>
          <w:r>
            <w:fldChar w:fldCharType="begin"/>
          </w:r>
          <w:r>
            <w:instrText xml:space="preserve"> PAGEREF _Toc24676 \h </w:instrText>
          </w:r>
          <w:r>
            <w:fldChar w:fldCharType="separate"/>
          </w:r>
          <w:r>
            <w:t>16</w:t>
          </w:r>
          <w:r>
            <w:fldChar w:fldCharType="end"/>
          </w:r>
          <w:r>
            <w:rPr>
              <w:rFonts w:hint="eastAsia"/>
              <w:szCs w:val="24"/>
              <w:lang w:val="en-US" w:eastAsia="zh-CN"/>
            </w:rPr>
            <w:fldChar w:fldCharType="end"/>
          </w:r>
        </w:p>
        <w:p w14:paraId="3D9A00C0">
          <w:pPr>
            <w:pStyle w:val="5"/>
            <w:tabs>
              <w:tab w:val="right" w:leader="dot" w:pos="9070"/>
            </w:tabs>
            <w:rPr>
              <w:rFonts w:hint="eastAsia" w:ascii="Times New Roman" w:hAnsi="Times New Roman" w:eastAsia="宋体" w:cs="Times New Roman"/>
              <w:szCs w:val="22"/>
            </w:rPr>
          </w:pPr>
          <w:r>
            <w:rPr>
              <w:rFonts w:hint="eastAsia" w:ascii="Times New Roman" w:hAnsi="Times New Roman" w:eastAsia="宋体" w:cs="Times New Roman"/>
              <w:szCs w:val="22"/>
              <w:lang w:val="en-US" w:eastAsia="zh-CN"/>
            </w:rPr>
            <w:fldChar w:fldCharType="begin"/>
          </w:r>
          <w:r>
            <w:rPr>
              <w:rFonts w:hint="eastAsia" w:ascii="Times New Roman" w:hAnsi="Times New Roman" w:eastAsia="宋体" w:cs="Times New Roman"/>
              <w:szCs w:val="22"/>
              <w:lang w:val="en-US" w:eastAsia="zh-CN"/>
            </w:rPr>
            <w:instrText xml:space="preserve"> HYPERLINK \l _Toc1679 </w:instrText>
          </w:r>
          <w:r>
            <w:rPr>
              <w:rFonts w:hint="eastAsia" w:ascii="Times New Roman" w:hAnsi="Times New Roman" w:eastAsia="宋体" w:cs="Times New Roman"/>
              <w:szCs w:val="22"/>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3</w:t>
          </w:r>
          <w:r>
            <w:rPr>
              <w:rFonts w:hint="eastAsia" w:ascii="Times New Roman" w:hAnsi="Times New Roman" w:eastAsia="宋体" w:cs="Times New Roman"/>
              <w:szCs w:val="22"/>
              <w:lang w:eastAsia="zh-CN"/>
            </w:rPr>
            <w:t xml:space="preserve"> 特征离散化处理</w:t>
          </w:r>
          <w:r>
            <w:rPr>
              <w:rFonts w:hint="eastAsia" w:ascii="Times New Roman" w:hAnsi="Times New Roman" w:eastAsia="宋体" w:cs="Times New Roman"/>
              <w:szCs w:val="22"/>
            </w:rPr>
            <w:tab/>
          </w:r>
          <w:r>
            <w:rPr>
              <w:rFonts w:hint="eastAsia" w:ascii="Times New Roman" w:hAnsi="Times New Roman" w:eastAsia="宋体" w:cs="Times New Roman"/>
              <w:szCs w:val="22"/>
            </w:rPr>
            <w:fldChar w:fldCharType="begin"/>
          </w:r>
          <w:r>
            <w:rPr>
              <w:rFonts w:hint="eastAsia" w:ascii="Times New Roman" w:hAnsi="Times New Roman" w:eastAsia="宋体" w:cs="Times New Roman"/>
              <w:szCs w:val="22"/>
            </w:rPr>
            <w:instrText xml:space="preserve"> PAGEREF _Toc1679 \h </w:instrText>
          </w:r>
          <w:r>
            <w:rPr>
              <w:rFonts w:hint="eastAsia" w:ascii="Times New Roman" w:hAnsi="Times New Roman" w:eastAsia="宋体" w:cs="Times New Roman"/>
              <w:szCs w:val="22"/>
            </w:rPr>
            <w:fldChar w:fldCharType="separate"/>
          </w:r>
          <w:r>
            <w:rPr>
              <w:rFonts w:hint="eastAsia" w:ascii="Times New Roman" w:hAnsi="Times New Roman" w:eastAsia="宋体" w:cs="Times New Roman"/>
              <w:szCs w:val="22"/>
            </w:rPr>
            <w:t>16</w:t>
          </w:r>
          <w:r>
            <w:rPr>
              <w:rFonts w:hint="eastAsia" w:ascii="Times New Roman" w:hAnsi="Times New Roman" w:eastAsia="宋体" w:cs="Times New Roman"/>
              <w:szCs w:val="22"/>
            </w:rPr>
            <w:fldChar w:fldCharType="end"/>
          </w:r>
          <w:r>
            <w:rPr>
              <w:rFonts w:hint="eastAsia" w:ascii="Times New Roman" w:hAnsi="Times New Roman" w:eastAsia="宋体" w:cs="Times New Roman"/>
              <w:szCs w:val="22"/>
              <w:lang w:val="en-US" w:eastAsia="zh-CN"/>
            </w:rPr>
            <w:fldChar w:fldCharType="end"/>
          </w:r>
        </w:p>
        <w:p w14:paraId="5105AA4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_Toc10314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4</w:t>
          </w:r>
          <w:r>
            <w:rPr>
              <w:rFonts w:hint="eastAsia" w:ascii="Times New Roman" w:hAnsi="Times New Roman" w:eastAsia="宋体" w:cs="Times New Roman"/>
              <w:szCs w:val="22"/>
              <w:lang w:eastAsia="zh-CN"/>
            </w:rPr>
            <w:t xml:space="preserve"> 特征组间差异与卡方检验</w:t>
          </w:r>
          <w:r>
            <w:tab/>
          </w:r>
          <w:r>
            <w:fldChar w:fldCharType="begin"/>
          </w:r>
          <w:r>
            <w:instrText xml:space="preserve"> PAGEREF _Toc10314 \h </w:instrText>
          </w:r>
          <w:r>
            <w:fldChar w:fldCharType="separate"/>
          </w:r>
          <w:r>
            <w:t>16</w:t>
          </w:r>
          <w:r>
            <w:fldChar w:fldCharType="end"/>
          </w:r>
          <w:r>
            <w:rPr>
              <w:rFonts w:hint="eastAsia"/>
              <w:szCs w:val="24"/>
              <w:lang w:val="en-US" w:eastAsia="zh-CN"/>
            </w:rPr>
            <w:fldChar w:fldCharType="end"/>
          </w:r>
        </w:p>
        <w:p w14:paraId="2F4681A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_Toc8217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lang w:eastAsia="zh-CN"/>
            </w:rPr>
            <w:t xml:space="preserve"> 特征共现热力图分析</w:t>
          </w:r>
          <w:r>
            <w:tab/>
          </w:r>
          <w:r>
            <w:fldChar w:fldCharType="begin"/>
          </w:r>
          <w:r>
            <w:instrText xml:space="preserve"> PAGEREF _Toc8217 \h </w:instrText>
          </w:r>
          <w:r>
            <w:fldChar w:fldCharType="separate"/>
          </w:r>
          <w:r>
            <w:t>17</w:t>
          </w:r>
          <w:r>
            <w:fldChar w:fldCharType="end"/>
          </w:r>
          <w:r>
            <w:rPr>
              <w:rFonts w:hint="eastAsia"/>
              <w:szCs w:val="24"/>
              <w:lang w:val="en-US" w:eastAsia="zh-CN"/>
            </w:rPr>
            <w:fldChar w:fldCharType="end"/>
          </w:r>
        </w:p>
        <w:p w14:paraId="6807B16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_Toc5275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6</w:t>
          </w:r>
          <w:r>
            <w:rPr>
              <w:rFonts w:hint="eastAsia" w:ascii="Times New Roman" w:hAnsi="Times New Roman" w:eastAsia="宋体" w:cs="Times New Roman"/>
              <w:szCs w:val="22"/>
              <w:lang w:eastAsia="zh-CN"/>
            </w:rPr>
            <w:t xml:space="preserve"> </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lang w:eastAsia="zh-CN"/>
            </w:rPr>
            <w:t>Apriori频繁项集挖掘</w:t>
          </w:r>
          <w:r>
            <w:tab/>
          </w:r>
          <w:r>
            <w:fldChar w:fldCharType="begin"/>
          </w:r>
          <w:r>
            <w:instrText xml:space="preserve"> PAGEREF _Toc5275 \h </w:instrText>
          </w:r>
          <w:r>
            <w:fldChar w:fldCharType="separate"/>
          </w:r>
          <w:r>
            <w:t>18</w:t>
          </w:r>
          <w:r>
            <w:fldChar w:fldCharType="end"/>
          </w:r>
          <w:r>
            <w:rPr>
              <w:rFonts w:hint="eastAsia"/>
              <w:szCs w:val="24"/>
              <w:lang w:val="en-US" w:eastAsia="zh-CN"/>
            </w:rPr>
            <w:fldChar w:fldCharType="end"/>
          </w:r>
        </w:p>
        <w:p w14:paraId="5AB511A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_Toc2676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7</w:t>
          </w:r>
          <w:r>
            <w:rPr>
              <w:rFonts w:hint="eastAsia" w:ascii="Times New Roman" w:hAnsi="Times New Roman" w:eastAsia="宋体" w:cs="Times New Roman"/>
              <w:szCs w:val="22"/>
              <w:lang w:eastAsia="zh-CN"/>
            </w:rPr>
            <w:t xml:space="preserve"> 关联规则分布与核心组合识别</w:t>
          </w:r>
          <w:r>
            <w:tab/>
          </w:r>
          <w:r>
            <w:fldChar w:fldCharType="begin"/>
          </w:r>
          <w:r>
            <w:instrText xml:space="preserve"> PAGEREF _Toc2676 \h </w:instrText>
          </w:r>
          <w:r>
            <w:fldChar w:fldCharType="separate"/>
          </w:r>
          <w:r>
            <w:t>19</w:t>
          </w:r>
          <w:r>
            <w:fldChar w:fldCharType="end"/>
          </w:r>
          <w:r>
            <w:rPr>
              <w:rFonts w:hint="eastAsia"/>
              <w:szCs w:val="24"/>
              <w:lang w:val="en-US" w:eastAsia="zh-CN"/>
            </w:rPr>
            <w:fldChar w:fldCharType="end"/>
          </w:r>
        </w:p>
        <w:p w14:paraId="0A2F062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_Toc14649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8</w:t>
          </w:r>
          <w:r>
            <w:rPr>
              <w:rFonts w:hint="eastAsia" w:ascii="Times New Roman" w:hAnsi="Times New Roman" w:eastAsia="宋体" w:cs="Times New Roman"/>
              <w:szCs w:val="22"/>
              <w:lang w:eastAsia="zh-CN"/>
            </w:rPr>
            <w:t xml:space="preserve"> 核心特征组合中西医机制解释</w:t>
          </w:r>
          <w:r>
            <w:tab/>
          </w:r>
          <w:r>
            <w:fldChar w:fldCharType="begin"/>
          </w:r>
          <w:r>
            <w:instrText xml:space="preserve"> PAGEREF _Toc14649 \h </w:instrText>
          </w:r>
          <w:r>
            <w:fldChar w:fldCharType="separate"/>
          </w:r>
          <w:r>
            <w:t>21</w:t>
          </w:r>
          <w:r>
            <w:fldChar w:fldCharType="end"/>
          </w:r>
          <w:r>
            <w:rPr>
              <w:rFonts w:hint="eastAsia"/>
              <w:szCs w:val="24"/>
              <w:lang w:val="en-US" w:eastAsia="zh-CN"/>
            </w:rPr>
            <w:fldChar w:fldCharType="end"/>
          </w:r>
        </w:p>
        <w:p w14:paraId="53BC7A45">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_Toc7337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2.9</w:t>
          </w:r>
          <w:r>
            <w:rPr>
              <w:rFonts w:hint="eastAsia" w:ascii="Times New Roman" w:hAnsi="Times New Roman" w:eastAsia="宋体" w:cs="Times New Roman"/>
              <w:szCs w:val="22"/>
              <w:lang w:eastAsia="zh-CN"/>
            </w:rPr>
            <w:t xml:space="preserve"> 子任务二结论</w:t>
          </w:r>
          <w:r>
            <w:tab/>
          </w:r>
          <w:r>
            <w:fldChar w:fldCharType="begin"/>
          </w:r>
          <w:r>
            <w:instrText xml:space="preserve"> PAGEREF _Toc7337 \h </w:instrText>
          </w:r>
          <w:r>
            <w:fldChar w:fldCharType="separate"/>
          </w:r>
          <w:r>
            <w:t>21</w:t>
          </w:r>
          <w:r>
            <w:fldChar w:fldCharType="end"/>
          </w:r>
          <w:r>
            <w:rPr>
              <w:rFonts w:hint="eastAsia"/>
              <w:szCs w:val="24"/>
              <w:lang w:val="en-US" w:eastAsia="zh-CN"/>
            </w:rPr>
            <w:fldChar w:fldCharType="end"/>
          </w:r>
        </w:p>
        <w:p w14:paraId="6D531BF0">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_Toc270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七、问题三模型的建立和求解</w:t>
          </w:r>
          <w:r>
            <w:tab/>
          </w:r>
          <w:r>
            <w:fldChar w:fldCharType="begin"/>
          </w:r>
          <w:r>
            <w:instrText xml:space="preserve"> PAGEREF _Toc270 \h </w:instrText>
          </w:r>
          <w:r>
            <w:fldChar w:fldCharType="separate"/>
          </w:r>
          <w:r>
            <w:t>21</w:t>
          </w:r>
          <w:r>
            <w:fldChar w:fldCharType="end"/>
          </w:r>
          <w:r>
            <w:rPr>
              <w:rFonts w:hint="eastAsia"/>
              <w:szCs w:val="24"/>
              <w:lang w:val="en-US" w:eastAsia="zh-CN"/>
            </w:rPr>
            <w:fldChar w:fldCharType="end"/>
          </w:r>
        </w:p>
        <w:p w14:paraId="01B4B93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_Toc19956 </w:instrText>
          </w:r>
          <w:r>
            <w:rPr>
              <w:rFonts w:hint="eastAsia"/>
              <w:szCs w:val="24"/>
              <w:lang w:val="en-US" w:eastAsia="zh-CN"/>
            </w:rPr>
            <w:fldChar w:fldCharType="separate"/>
          </w:r>
          <w:r>
            <w:rPr>
              <w:rFonts w:hint="eastAsia" w:ascii="Times New Roman" w:hAnsi="Times New Roman" w:eastAsia="宋体" w:cs="Times New Roman"/>
              <w:szCs w:val="22"/>
              <w:lang w:eastAsia="zh-CN"/>
            </w:rPr>
            <w:t>7.1 模型假设</w:t>
          </w:r>
          <w:r>
            <w:tab/>
          </w:r>
          <w:r>
            <w:fldChar w:fldCharType="begin"/>
          </w:r>
          <w:r>
            <w:instrText xml:space="preserve"> PAGEREF _Toc19956 \h </w:instrText>
          </w:r>
          <w:r>
            <w:fldChar w:fldCharType="separate"/>
          </w:r>
          <w:r>
            <w:t>21</w:t>
          </w:r>
          <w:r>
            <w:fldChar w:fldCharType="end"/>
          </w:r>
          <w:r>
            <w:rPr>
              <w:rFonts w:hint="eastAsia"/>
              <w:szCs w:val="24"/>
              <w:lang w:val="en-US" w:eastAsia="zh-CN"/>
            </w:rPr>
            <w:fldChar w:fldCharType="end"/>
          </w:r>
        </w:p>
        <w:p w14:paraId="0A4DFE6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_Toc18036 </w:instrText>
          </w:r>
          <w:r>
            <w:rPr>
              <w:rFonts w:hint="eastAsia"/>
              <w:szCs w:val="24"/>
              <w:lang w:val="en-US" w:eastAsia="zh-CN"/>
            </w:rPr>
            <w:fldChar w:fldCharType="separate"/>
          </w:r>
          <w:r>
            <w:rPr>
              <w:rFonts w:hint="eastAsia" w:ascii="Times New Roman" w:hAnsi="Times New Roman" w:eastAsia="宋体" w:cs="Times New Roman"/>
              <w:szCs w:val="22"/>
              <w:lang w:eastAsia="zh-CN"/>
            </w:rPr>
            <w:t>7.2 模型构建</w:t>
          </w:r>
          <w:r>
            <w:tab/>
          </w:r>
          <w:r>
            <w:fldChar w:fldCharType="begin"/>
          </w:r>
          <w:r>
            <w:instrText xml:space="preserve"> PAGEREF _Toc18036 \h </w:instrText>
          </w:r>
          <w:r>
            <w:fldChar w:fldCharType="separate"/>
          </w:r>
          <w:r>
            <w:t>21</w:t>
          </w:r>
          <w:r>
            <w:fldChar w:fldCharType="end"/>
          </w:r>
          <w:r>
            <w:rPr>
              <w:rFonts w:hint="eastAsia"/>
              <w:szCs w:val="24"/>
              <w:lang w:val="en-US" w:eastAsia="zh-CN"/>
            </w:rPr>
            <w:fldChar w:fldCharType="end"/>
          </w:r>
        </w:p>
        <w:p w14:paraId="381DE89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_Toc5901 </w:instrText>
          </w:r>
          <w:r>
            <w:rPr>
              <w:rFonts w:hint="eastAsia"/>
              <w:szCs w:val="24"/>
              <w:lang w:val="en-US" w:eastAsia="zh-CN"/>
            </w:rPr>
            <w:fldChar w:fldCharType="separate"/>
          </w:r>
          <w:r>
            <w:rPr>
              <w:rFonts w:hint="eastAsia" w:ascii="Times New Roman" w:hAnsi="Times New Roman" w:eastAsia="宋体" w:cs="Times New Roman"/>
              <w:szCs w:val="22"/>
              <w:lang w:eastAsia="zh-CN"/>
            </w:rPr>
            <w:t>7.2.1 中医调理分级规则</w:t>
          </w:r>
          <w:r>
            <w:tab/>
          </w:r>
          <w:r>
            <w:fldChar w:fldCharType="begin"/>
          </w:r>
          <w:r>
            <w:instrText xml:space="preserve"> PAGEREF _Toc5901 \h </w:instrText>
          </w:r>
          <w:r>
            <w:fldChar w:fldCharType="separate"/>
          </w:r>
          <w:r>
            <w:t>21</w:t>
          </w:r>
          <w:r>
            <w:fldChar w:fldCharType="end"/>
          </w:r>
          <w:r>
            <w:rPr>
              <w:rFonts w:hint="eastAsia"/>
              <w:szCs w:val="24"/>
              <w:lang w:val="en-US" w:eastAsia="zh-CN"/>
            </w:rPr>
            <w:fldChar w:fldCharType="end"/>
          </w:r>
        </w:p>
        <w:p w14:paraId="4F94FD0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_Toc12263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7.2.2 月度积分下降率模型</w:t>
          </w:r>
          <w:r>
            <w:tab/>
          </w:r>
          <w:r>
            <w:fldChar w:fldCharType="begin"/>
          </w:r>
          <w:r>
            <w:instrText xml:space="preserve"> PAGEREF _Toc12263 \h </w:instrText>
          </w:r>
          <w:r>
            <w:fldChar w:fldCharType="separate"/>
          </w:r>
          <w:r>
            <w:t>21</w:t>
          </w:r>
          <w:r>
            <w:fldChar w:fldCharType="end"/>
          </w:r>
          <w:r>
            <w:rPr>
              <w:rFonts w:hint="eastAsia"/>
              <w:szCs w:val="24"/>
              <w:lang w:val="en-US" w:eastAsia="zh-CN"/>
            </w:rPr>
            <w:fldChar w:fldCharType="end"/>
          </w:r>
        </w:p>
        <w:p w14:paraId="615EADB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_Toc23197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7.2.3 痰湿积分递推公式</w:t>
          </w:r>
          <w:r>
            <w:tab/>
          </w:r>
          <w:r>
            <w:fldChar w:fldCharType="begin"/>
          </w:r>
          <w:r>
            <w:instrText xml:space="preserve"> PAGEREF _Toc23197 \h </w:instrText>
          </w:r>
          <w:r>
            <w:fldChar w:fldCharType="separate"/>
          </w:r>
          <w:r>
            <w:t>21</w:t>
          </w:r>
          <w:r>
            <w:fldChar w:fldCharType="end"/>
          </w:r>
          <w:r>
            <w:rPr>
              <w:rFonts w:hint="eastAsia"/>
              <w:szCs w:val="24"/>
              <w:lang w:val="en-US" w:eastAsia="zh-CN"/>
            </w:rPr>
            <w:fldChar w:fldCharType="end"/>
          </w:r>
        </w:p>
        <w:p w14:paraId="2702F434">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_Toc31515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7.2.4 成本模型</w:t>
          </w:r>
          <w:r>
            <w:tab/>
          </w:r>
          <w:r>
            <w:fldChar w:fldCharType="begin"/>
          </w:r>
          <w:r>
            <w:instrText xml:space="preserve"> PAGEREF _Toc31515 \h </w:instrText>
          </w:r>
          <w:r>
            <w:fldChar w:fldCharType="separate"/>
          </w:r>
          <w:r>
            <w:t>22</w:t>
          </w:r>
          <w:r>
            <w:fldChar w:fldCharType="end"/>
          </w:r>
          <w:r>
            <w:rPr>
              <w:rFonts w:hint="eastAsia"/>
              <w:szCs w:val="24"/>
              <w:lang w:val="en-US" w:eastAsia="zh-CN"/>
            </w:rPr>
            <w:fldChar w:fldCharType="end"/>
          </w:r>
        </w:p>
        <w:p w14:paraId="546AC07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_Toc30321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7.2.5 约束条件</w:t>
          </w:r>
          <w:r>
            <w:tab/>
          </w:r>
          <w:r>
            <w:fldChar w:fldCharType="begin"/>
          </w:r>
          <w:r>
            <w:instrText xml:space="preserve"> PAGEREF _Toc30321 \h </w:instrText>
          </w:r>
          <w:r>
            <w:fldChar w:fldCharType="separate"/>
          </w:r>
          <w:r>
            <w:t>22</w:t>
          </w:r>
          <w:r>
            <w:fldChar w:fldCharType="end"/>
          </w:r>
          <w:r>
            <w:rPr>
              <w:rFonts w:hint="eastAsia"/>
              <w:szCs w:val="24"/>
              <w:lang w:val="en-US" w:eastAsia="zh-CN"/>
            </w:rPr>
            <w:fldChar w:fldCharType="end"/>
          </w:r>
        </w:p>
        <w:p w14:paraId="7155036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_Toc29167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7.2.6 目标函数</w:t>
          </w:r>
          <w:r>
            <w:tab/>
          </w:r>
          <w:r>
            <w:fldChar w:fldCharType="begin"/>
          </w:r>
          <w:r>
            <w:instrText xml:space="preserve"> PAGEREF _Toc29167 \h </w:instrText>
          </w:r>
          <w:r>
            <w:fldChar w:fldCharType="separate"/>
          </w:r>
          <w:r>
            <w:t>22</w:t>
          </w:r>
          <w:r>
            <w:fldChar w:fldCharType="end"/>
          </w:r>
          <w:r>
            <w:rPr>
              <w:rFonts w:hint="eastAsia"/>
              <w:szCs w:val="24"/>
              <w:lang w:val="en-US" w:eastAsia="zh-CN"/>
            </w:rPr>
            <w:fldChar w:fldCharType="end"/>
          </w:r>
        </w:p>
        <w:p w14:paraId="48515654">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_Toc27432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7.3 模型求解方法</w:t>
          </w:r>
          <w:r>
            <w:tab/>
          </w:r>
          <w:r>
            <w:fldChar w:fldCharType="begin"/>
          </w:r>
          <w:r>
            <w:instrText xml:space="preserve"> PAGEREF _Toc27432 \h </w:instrText>
          </w:r>
          <w:r>
            <w:fldChar w:fldCharType="separate"/>
          </w:r>
          <w:r>
            <w:t>22</w:t>
          </w:r>
          <w:r>
            <w:fldChar w:fldCharType="end"/>
          </w:r>
          <w:r>
            <w:rPr>
              <w:rFonts w:hint="eastAsia"/>
              <w:szCs w:val="24"/>
              <w:lang w:val="en-US" w:eastAsia="zh-CN"/>
            </w:rPr>
            <w:fldChar w:fldCharType="end"/>
          </w:r>
        </w:p>
        <w:p w14:paraId="45F24589">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_Toc24534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7.4 典型样本最优干预方案（ID=1、2、3）</w:t>
          </w:r>
          <w:r>
            <w:tab/>
          </w:r>
          <w:r>
            <w:fldChar w:fldCharType="begin"/>
          </w:r>
          <w:r>
            <w:instrText xml:space="preserve"> PAGEREF _Toc24534 \h </w:instrText>
          </w:r>
          <w:r>
            <w:fldChar w:fldCharType="separate"/>
          </w:r>
          <w:r>
            <w:t>22</w:t>
          </w:r>
          <w:r>
            <w:fldChar w:fldCharType="end"/>
          </w:r>
          <w:r>
            <w:rPr>
              <w:rFonts w:hint="eastAsia"/>
              <w:szCs w:val="24"/>
              <w:lang w:val="en-US" w:eastAsia="zh-CN"/>
            </w:rPr>
            <w:fldChar w:fldCharType="end"/>
          </w:r>
        </w:p>
        <w:p w14:paraId="4063CBF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_Toc13934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7.4.1 样本</w:t>
          </w:r>
          <w:r>
            <w:rPr>
              <w:rFonts w:hint="eastAsia" w:ascii="Times New Roman" w:hAnsi="Times New Roman" w:cs="Times New Roman"/>
              <w:szCs w:val="22"/>
              <w:lang w:val="en-US" w:eastAsia="zh-CN"/>
            </w:rPr>
            <w:t xml:space="preserve"> </w:t>
          </w:r>
          <w:r>
            <w:rPr>
              <w:rFonts w:hint="default" w:ascii="Times New Roman" w:hAnsi="Times New Roman" w:eastAsia="宋体" w:cs="Times New Roman"/>
              <w:szCs w:val="22"/>
              <w:lang w:val="en-US" w:eastAsia="zh-CN"/>
            </w:rPr>
            <w:t>ID=1</w:t>
          </w:r>
          <w:r>
            <w:tab/>
          </w:r>
          <w:r>
            <w:fldChar w:fldCharType="begin"/>
          </w:r>
          <w:r>
            <w:instrText xml:space="preserve"> PAGEREF _Toc13934 \h </w:instrText>
          </w:r>
          <w:r>
            <w:fldChar w:fldCharType="separate"/>
          </w:r>
          <w:r>
            <w:t>22</w:t>
          </w:r>
          <w:r>
            <w:fldChar w:fldCharType="end"/>
          </w:r>
          <w:r>
            <w:rPr>
              <w:rFonts w:hint="eastAsia"/>
              <w:szCs w:val="24"/>
              <w:lang w:val="en-US" w:eastAsia="zh-CN"/>
            </w:rPr>
            <w:fldChar w:fldCharType="end"/>
          </w:r>
        </w:p>
        <w:p w14:paraId="79CF8CC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_Toc21422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7.4.2</w:t>
          </w:r>
          <w:r>
            <w:rPr>
              <w:rFonts w:hint="default" w:hAnsi="Cambria Math"/>
              <w:i w:val="0"/>
              <w:lang w:val="en-US" w:eastAsia="zh-CN"/>
            </w:rPr>
            <w:t xml:space="preserve"> 样本</w:t>
          </w:r>
          <w:r>
            <w:rPr>
              <w:rFonts w:hint="default" w:ascii="Times New Roman" w:hAnsi="Times New Roman" w:eastAsia="宋体" w:cs="Times New Roman"/>
              <w:szCs w:val="22"/>
              <w:lang w:val="en-US" w:eastAsia="zh-CN"/>
            </w:rPr>
            <w:t xml:space="preserve"> ID=2</w:t>
          </w:r>
          <w:r>
            <w:tab/>
          </w:r>
          <w:r>
            <w:fldChar w:fldCharType="begin"/>
          </w:r>
          <w:r>
            <w:instrText xml:space="preserve"> PAGEREF _Toc21422 \h </w:instrText>
          </w:r>
          <w:r>
            <w:fldChar w:fldCharType="separate"/>
          </w:r>
          <w:r>
            <w:t>23</w:t>
          </w:r>
          <w:r>
            <w:fldChar w:fldCharType="end"/>
          </w:r>
          <w:r>
            <w:rPr>
              <w:rFonts w:hint="eastAsia"/>
              <w:szCs w:val="24"/>
              <w:lang w:val="en-US" w:eastAsia="zh-CN"/>
            </w:rPr>
            <w:fldChar w:fldCharType="end"/>
          </w:r>
        </w:p>
        <w:p w14:paraId="1441BA8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_Toc7176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 xml:space="preserve">7.4.3 </w:t>
          </w:r>
          <w:r>
            <w:rPr>
              <w:rFonts w:hint="default" w:hAnsi="Cambria Math"/>
              <w:i w:val="0"/>
              <w:lang w:val="en-US" w:eastAsia="zh-CN"/>
            </w:rPr>
            <w:t>样本</w:t>
          </w:r>
          <w:r>
            <w:rPr>
              <w:rFonts w:hint="default" w:ascii="Times New Roman" w:hAnsi="Times New Roman" w:eastAsia="宋体" w:cs="Times New Roman"/>
              <w:szCs w:val="22"/>
              <w:lang w:val="en-US" w:eastAsia="zh-CN"/>
            </w:rPr>
            <w:t xml:space="preserve"> ID=3</w:t>
          </w:r>
          <w:r>
            <w:tab/>
          </w:r>
          <w:r>
            <w:fldChar w:fldCharType="begin"/>
          </w:r>
          <w:r>
            <w:instrText xml:space="preserve"> PAGEREF _Toc7176 \h </w:instrText>
          </w:r>
          <w:r>
            <w:fldChar w:fldCharType="separate"/>
          </w:r>
          <w:r>
            <w:t>23</w:t>
          </w:r>
          <w:r>
            <w:fldChar w:fldCharType="end"/>
          </w:r>
          <w:r>
            <w:rPr>
              <w:rFonts w:hint="eastAsia"/>
              <w:szCs w:val="24"/>
              <w:lang w:val="en-US" w:eastAsia="zh-CN"/>
            </w:rPr>
            <w:fldChar w:fldCharType="end"/>
          </w:r>
        </w:p>
        <w:p w14:paraId="6543D346">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_Toc6425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7.5 患者特征 — 最优方案匹配规律</w:t>
          </w:r>
          <w:r>
            <w:tab/>
          </w:r>
          <w:r>
            <w:fldChar w:fldCharType="begin"/>
          </w:r>
          <w:r>
            <w:instrText xml:space="preserve"> PAGEREF _Toc6425 \h </w:instrText>
          </w:r>
          <w:r>
            <w:fldChar w:fldCharType="separate"/>
          </w:r>
          <w:r>
            <w:t>24</w:t>
          </w:r>
          <w:r>
            <w:fldChar w:fldCharType="end"/>
          </w:r>
          <w:r>
            <w:rPr>
              <w:rFonts w:hint="eastAsia"/>
              <w:szCs w:val="24"/>
              <w:lang w:val="en-US" w:eastAsia="zh-CN"/>
            </w:rPr>
            <w:fldChar w:fldCharType="end"/>
          </w:r>
        </w:p>
        <w:p w14:paraId="6AC227C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_Toc15417 </w:instrText>
          </w:r>
          <w:r>
            <w:rPr>
              <w:rFonts w:hint="eastAsia"/>
              <w:szCs w:val="24"/>
              <w:lang w:val="en-US" w:eastAsia="zh-CN"/>
            </w:rPr>
            <w:fldChar w:fldCharType="separate"/>
          </w:r>
          <w:r>
            <w:rPr>
              <w:rFonts w:hint="eastAsia"/>
              <w:szCs w:val="24"/>
              <w:lang w:val="en-US" w:eastAsia="zh-CN"/>
            </w:rPr>
            <w:t>1.</w:t>
          </w:r>
          <w:r>
            <w:rPr>
              <w:rFonts w:hint="default" w:ascii="Times New Roman" w:hAnsi="Times New Roman" w:eastAsia="宋体" w:cs="Times New Roman"/>
              <w:szCs w:val="22"/>
              <w:lang w:val="en-US" w:eastAsia="zh-CN"/>
            </w:rPr>
            <w:t>强度策略——就高不就低</w:t>
          </w:r>
          <w:r>
            <w:tab/>
          </w:r>
          <w:r>
            <w:fldChar w:fldCharType="begin"/>
          </w:r>
          <w:r>
            <w:instrText xml:space="preserve"> PAGEREF _Toc15417 \h </w:instrText>
          </w:r>
          <w:r>
            <w:fldChar w:fldCharType="separate"/>
          </w:r>
          <w:r>
            <w:t>24</w:t>
          </w:r>
          <w:r>
            <w:fldChar w:fldCharType="end"/>
          </w:r>
          <w:r>
            <w:rPr>
              <w:rFonts w:hint="eastAsia"/>
              <w:szCs w:val="24"/>
              <w:lang w:val="en-US" w:eastAsia="zh-CN"/>
            </w:rPr>
            <w:fldChar w:fldCharType="end"/>
          </w:r>
        </w:p>
        <w:p w14:paraId="2002BBD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_Toc28116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频率策略——预算允许内拉满</w:t>
          </w:r>
          <w:r>
            <w:tab/>
          </w:r>
          <w:r>
            <w:fldChar w:fldCharType="begin"/>
          </w:r>
          <w:r>
            <w:instrText xml:space="preserve"> PAGEREF _Toc28116 \h </w:instrText>
          </w:r>
          <w:r>
            <w:fldChar w:fldCharType="separate"/>
          </w:r>
          <w:r>
            <w:t>24</w:t>
          </w:r>
          <w:r>
            <w:fldChar w:fldCharType="end"/>
          </w:r>
          <w:r>
            <w:rPr>
              <w:rFonts w:hint="eastAsia"/>
              <w:szCs w:val="24"/>
              <w:lang w:val="en-US" w:eastAsia="zh-CN"/>
            </w:rPr>
            <w:fldChar w:fldCharType="end"/>
          </w:r>
        </w:p>
        <w:p w14:paraId="6C24C241">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_Toc2627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TCM分级的首月效应</w:t>
          </w:r>
          <w:r>
            <w:tab/>
          </w:r>
          <w:r>
            <w:fldChar w:fldCharType="begin"/>
          </w:r>
          <w:r>
            <w:instrText xml:space="preserve"> PAGEREF _Toc2627 \h </w:instrText>
          </w:r>
          <w:r>
            <w:fldChar w:fldCharType="separate"/>
          </w:r>
          <w:r>
            <w:t>24</w:t>
          </w:r>
          <w:r>
            <w:fldChar w:fldCharType="end"/>
          </w:r>
          <w:r>
            <w:rPr>
              <w:rFonts w:hint="eastAsia"/>
              <w:szCs w:val="24"/>
              <w:lang w:val="en-US" w:eastAsia="zh-CN"/>
            </w:rPr>
            <w:fldChar w:fldCharType="end"/>
          </w:r>
        </w:p>
        <w:p w14:paraId="105E9B2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_Toc23206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经济效率递减规律</w:t>
          </w:r>
          <w:r>
            <w:tab/>
          </w:r>
          <w:r>
            <w:fldChar w:fldCharType="begin"/>
          </w:r>
          <w:r>
            <w:instrText xml:space="preserve"> PAGEREF _Toc23206 \h </w:instrText>
          </w:r>
          <w:r>
            <w:fldChar w:fldCharType="separate"/>
          </w:r>
          <w:r>
            <w:t>24</w:t>
          </w:r>
          <w:r>
            <w:fldChar w:fldCharType="end"/>
          </w:r>
          <w:r>
            <w:rPr>
              <w:rFonts w:hint="eastAsia"/>
              <w:szCs w:val="24"/>
              <w:lang w:val="en-US" w:eastAsia="zh-CN"/>
            </w:rPr>
            <w:fldChar w:fldCharType="end"/>
          </w:r>
        </w:p>
        <w:p w14:paraId="6798722C">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_Toc3098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7.6 模型结论</w:t>
          </w:r>
          <w:r>
            <w:tab/>
          </w:r>
          <w:r>
            <w:fldChar w:fldCharType="begin"/>
          </w:r>
          <w:r>
            <w:instrText xml:space="preserve"> PAGEREF _Toc3098 \h </w:instrText>
          </w:r>
          <w:r>
            <w:fldChar w:fldCharType="separate"/>
          </w:r>
          <w:r>
            <w:t>24</w:t>
          </w:r>
          <w:r>
            <w:fldChar w:fldCharType="end"/>
          </w:r>
          <w:r>
            <w:rPr>
              <w:rFonts w:hint="eastAsia"/>
              <w:szCs w:val="24"/>
              <w:lang w:val="en-US" w:eastAsia="zh-CN"/>
            </w:rPr>
            <w:fldChar w:fldCharType="end"/>
          </w:r>
        </w:p>
        <w:p w14:paraId="3EB5543A">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_Toc5335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八、</w:t>
          </w:r>
          <w:r>
            <w:rPr>
              <w:rFonts w:hint="default" w:ascii="Times New Roman" w:hAnsi="Times New Roman" w:eastAsia="宋体" w:cs="Times New Roman"/>
              <w:bCs/>
              <w:szCs w:val="24"/>
              <w:lang w:val="en-US" w:eastAsia="zh-CN"/>
            </w:rPr>
            <w:t>模型的优缺点分析</w:t>
          </w:r>
          <w:r>
            <w:tab/>
          </w:r>
          <w:r>
            <w:fldChar w:fldCharType="begin"/>
          </w:r>
          <w:r>
            <w:instrText xml:space="preserve"> PAGEREF _Toc5335 \h </w:instrText>
          </w:r>
          <w:r>
            <w:fldChar w:fldCharType="separate"/>
          </w:r>
          <w:r>
            <w:t>24</w:t>
          </w:r>
          <w:r>
            <w:fldChar w:fldCharType="end"/>
          </w:r>
          <w:r>
            <w:rPr>
              <w:rFonts w:hint="eastAsia"/>
              <w:szCs w:val="24"/>
              <w:lang w:val="en-US" w:eastAsia="zh-CN"/>
            </w:rPr>
            <w:fldChar w:fldCharType="end"/>
          </w:r>
        </w:p>
        <w:p w14:paraId="603D1EF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_Toc21633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模型优点</w:t>
          </w:r>
          <w:r>
            <w:tab/>
          </w:r>
          <w:r>
            <w:fldChar w:fldCharType="begin"/>
          </w:r>
          <w:r>
            <w:instrText xml:space="preserve"> PAGEREF _Toc21633 \h </w:instrText>
          </w:r>
          <w:r>
            <w:fldChar w:fldCharType="separate"/>
          </w:r>
          <w:r>
            <w:t>24</w:t>
          </w:r>
          <w:r>
            <w:fldChar w:fldCharType="end"/>
          </w:r>
          <w:r>
            <w:rPr>
              <w:rFonts w:hint="eastAsia"/>
              <w:szCs w:val="24"/>
              <w:lang w:val="en-US" w:eastAsia="zh-CN"/>
            </w:rPr>
            <w:fldChar w:fldCharType="end"/>
          </w:r>
        </w:p>
        <w:p w14:paraId="24E163E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_Toc13395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多维度融合，预警精度高</w:t>
          </w:r>
          <w:r>
            <w:tab/>
          </w:r>
          <w:r>
            <w:fldChar w:fldCharType="begin"/>
          </w:r>
          <w:r>
            <w:instrText xml:space="preserve"> PAGEREF _Toc13395 \h </w:instrText>
          </w:r>
          <w:r>
            <w:fldChar w:fldCharType="separate"/>
          </w:r>
          <w:r>
            <w:t>24</w:t>
          </w:r>
          <w:r>
            <w:fldChar w:fldCharType="end"/>
          </w:r>
          <w:r>
            <w:rPr>
              <w:rFonts w:hint="eastAsia"/>
              <w:szCs w:val="24"/>
              <w:lang w:val="en-US" w:eastAsia="zh-CN"/>
            </w:rPr>
            <w:fldChar w:fldCharType="end"/>
          </w:r>
        </w:p>
        <w:p w14:paraId="4390043A">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_Toc29472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可解释性强，贴合临床应用</w:t>
          </w:r>
          <w:r>
            <w:tab/>
          </w:r>
          <w:r>
            <w:fldChar w:fldCharType="begin"/>
          </w:r>
          <w:r>
            <w:instrText xml:space="preserve"> PAGEREF _Toc29472 \h </w:instrText>
          </w:r>
          <w:r>
            <w:fldChar w:fldCharType="separate"/>
          </w:r>
          <w:r>
            <w:t>24</w:t>
          </w:r>
          <w:r>
            <w:fldChar w:fldCharType="end"/>
          </w:r>
          <w:r>
            <w:rPr>
              <w:rFonts w:hint="eastAsia"/>
              <w:szCs w:val="24"/>
              <w:lang w:val="en-US" w:eastAsia="zh-CN"/>
            </w:rPr>
            <w:fldChar w:fldCharType="end"/>
          </w:r>
        </w:p>
        <w:p w14:paraId="7AF542DE">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_Toc11230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优化模型实用，干预方案个性化</w:t>
          </w:r>
          <w:r>
            <w:tab/>
          </w:r>
          <w:r>
            <w:fldChar w:fldCharType="begin"/>
          </w:r>
          <w:r>
            <w:instrText xml:space="preserve"> PAGEREF _Toc11230 \h </w:instrText>
          </w:r>
          <w:r>
            <w:fldChar w:fldCharType="separate"/>
          </w:r>
          <w:r>
            <w:t>25</w:t>
          </w:r>
          <w:r>
            <w:fldChar w:fldCharType="end"/>
          </w:r>
          <w:r>
            <w:rPr>
              <w:rFonts w:hint="eastAsia"/>
              <w:szCs w:val="24"/>
              <w:lang w:val="en-US" w:eastAsia="zh-CN"/>
            </w:rPr>
            <w:fldChar w:fldCharType="end"/>
          </w:r>
        </w:p>
        <w:p w14:paraId="145B8CD8">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_Toc12898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算法稳健，适配医疗数据特性</w:t>
          </w:r>
          <w:r>
            <w:tab/>
          </w:r>
          <w:r>
            <w:fldChar w:fldCharType="begin"/>
          </w:r>
          <w:r>
            <w:instrText xml:space="preserve"> PAGEREF _Toc12898 \h </w:instrText>
          </w:r>
          <w:r>
            <w:fldChar w:fldCharType="separate"/>
          </w:r>
          <w:r>
            <w:t>25</w:t>
          </w:r>
          <w:r>
            <w:fldChar w:fldCharType="end"/>
          </w:r>
          <w:r>
            <w:rPr>
              <w:rFonts w:hint="eastAsia"/>
              <w:szCs w:val="24"/>
              <w:lang w:val="en-US" w:eastAsia="zh-CN"/>
            </w:rPr>
            <w:fldChar w:fldCharType="end"/>
          </w:r>
        </w:p>
        <w:p w14:paraId="338D6411">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_Toc7181 </w:instrText>
          </w:r>
          <w:r>
            <w:rPr>
              <w:rFonts w:hint="eastAsia"/>
              <w:szCs w:val="24"/>
              <w:lang w:val="en-US" w:eastAsia="zh-CN"/>
            </w:rPr>
            <w:fldChar w:fldCharType="separate"/>
          </w:r>
          <w:r>
            <w:rPr>
              <w:rFonts w:hint="eastAsia" w:cs="Times New Roman"/>
              <w:szCs w:val="22"/>
              <w:lang w:val="en-US" w:eastAsia="zh-CN"/>
            </w:rPr>
            <w:t>5.</w:t>
          </w:r>
          <w:r>
            <w:rPr>
              <w:rFonts w:hint="default" w:ascii="Times New Roman" w:hAnsi="Times New Roman" w:eastAsia="宋体" w:cs="Times New Roman"/>
              <w:szCs w:val="22"/>
              <w:lang w:val="en-US" w:eastAsia="zh-CN"/>
            </w:rPr>
            <w:t>中西医结合，理论与实践统一</w:t>
          </w:r>
          <w:r>
            <w:tab/>
          </w:r>
          <w:r>
            <w:fldChar w:fldCharType="begin"/>
          </w:r>
          <w:r>
            <w:instrText xml:space="preserve"> PAGEREF _Toc7181 \h </w:instrText>
          </w:r>
          <w:r>
            <w:fldChar w:fldCharType="separate"/>
          </w:r>
          <w:r>
            <w:t>25</w:t>
          </w:r>
          <w:r>
            <w:fldChar w:fldCharType="end"/>
          </w:r>
          <w:r>
            <w:rPr>
              <w:rFonts w:hint="eastAsia"/>
              <w:szCs w:val="24"/>
              <w:lang w:val="en-US" w:eastAsia="zh-CN"/>
            </w:rPr>
            <w:fldChar w:fldCharType="end"/>
          </w:r>
        </w:p>
        <w:p w14:paraId="553852DE">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_Toc30996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模型缺点</w:t>
          </w:r>
          <w:r>
            <w:tab/>
          </w:r>
          <w:r>
            <w:fldChar w:fldCharType="begin"/>
          </w:r>
          <w:r>
            <w:instrText xml:space="preserve"> PAGEREF _Toc30996 \h </w:instrText>
          </w:r>
          <w:r>
            <w:fldChar w:fldCharType="separate"/>
          </w:r>
          <w:r>
            <w:t>25</w:t>
          </w:r>
          <w:r>
            <w:fldChar w:fldCharType="end"/>
          </w:r>
          <w:r>
            <w:rPr>
              <w:rFonts w:hint="eastAsia"/>
              <w:szCs w:val="24"/>
              <w:lang w:val="en-US" w:eastAsia="zh-CN"/>
            </w:rPr>
            <w:fldChar w:fldCharType="end"/>
          </w:r>
        </w:p>
        <w:p w14:paraId="2ACA2E9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_Toc7902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体质独立解释力有限</w:t>
          </w:r>
          <w:r>
            <w:tab/>
          </w:r>
          <w:r>
            <w:fldChar w:fldCharType="begin"/>
          </w:r>
          <w:r>
            <w:instrText xml:space="preserve"> PAGEREF _Toc7902 \h </w:instrText>
          </w:r>
          <w:r>
            <w:fldChar w:fldCharType="separate"/>
          </w:r>
          <w:r>
            <w:t>25</w:t>
          </w:r>
          <w:r>
            <w:fldChar w:fldCharType="end"/>
          </w:r>
          <w:r>
            <w:rPr>
              <w:rFonts w:hint="eastAsia"/>
              <w:szCs w:val="24"/>
              <w:lang w:val="en-US" w:eastAsia="zh-CN"/>
            </w:rPr>
            <w:fldChar w:fldCharType="end"/>
          </w:r>
        </w:p>
        <w:p w14:paraId="147D660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_Toc5653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决策树特征覆盖范围窄</w:t>
          </w:r>
          <w:r>
            <w:tab/>
          </w:r>
          <w:r>
            <w:fldChar w:fldCharType="begin"/>
          </w:r>
          <w:r>
            <w:instrText xml:space="preserve"> PAGEREF _Toc5653 \h </w:instrText>
          </w:r>
          <w:r>
            <w:fldChar w:fldCharType="separate"/>
          </w:r>
          <w:r>
            <w:t>25</w:t>
          </w:r>
          <w:r>
            <w:fldChar w:fldCharType="end"/>
          </w:r>
          <w:r>
            <w:rPr>
              <w:rFonts w:hint="eastAsia"/>
              <w:szCs w:val="24"/>
              <w:lang w:val="en-US" w:eastAsia="zh-CN"/>
            </w:rPr>
            <w:fldChar w:fldCharType="end"/>
          </w:r>
        </w:p>
        <w:p w14:paraId="4A64410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_Toc22813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干预模型为静态固定方案</w:t>
          </w:r>
          <w:r>
            <w:tab/>
          </w:r>
          <w:r>
            <w:fldChar w:fldCharType="begin"/>
          </w:r>
          <w:r>
            <w:instrText xml:space="preserve"> PAGEREF _Toc22813 \h </w:instrText>
          </w:r>
          <w:r>
            <w:fldChar w:fldCharType="separate"/>
          </w:r>
          <w:r>
            <w:t>25</w:t>
          </w:r>
          <w:r>
            <w:fldChar w:fldCharType="end"/>
          </w:r>
          <w:r>
            <w:rPr>
              <w:rFonts w:hint="eastAsia"/>
              <w:szCs w:val="24"/>
              <w:lang w:val="en-US" w:eastAsia="zh-CN"/>
            </w:rPr>
            <w:fldChar w:fldCharType="end"/>
          </w:r>
        </w:p>
        <w:p w14:paraId="6D0B902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_Toc11947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样本代表性存在局限</w:t>
          </w:r>
          <w:r>
            <w:tab/>
          </w:r>
          <w:r>
            <w:fldChar w:fldCharType="begin"/>
          </w:r>
          <w:r>
            <w:instrText xml:space="preserve"> PAGEREF _Toc11947 \h </w:instrText>
          </w:r>
          <w:r>
            <w:fldChar w:fldCharType="separate"/>
          </w:r>
          <w:r>
            <w:t>25</w:t>
          </w:r>
          <w:r>
            <w:fldChar w:fldCharType="end"/>
          </w:r>
          <w:r>
            <w:rPr>
              <w:rFonts w:hint="eastAsia"/>
              <w:szCs w:val="24"/>
              <w:lang w:val="en-US" w:eastAsia="zh-CN"/>
            </w:rPr>
            <w:fldChar w:fldCharType="end"/>
          </w:r>
        </w:p>
        <w:p w14:paraId="3244AADB">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_Toc18434 </w:instrText>
          </w:r>
          <w:r>
            <w:rPr>
              <w:rFonts w:hint="eastAsia"/>
              <w:szCs w:val="24"/>
              <w:lang w:val="en-US" w:eastAsia="zh-CN"/>
            </w:rPr>
            <w:fldChar w:fldCharType="separate"/>
          </w:r>
          <w:r>
            <w:rPr>
              <w:rFonts w:hint="eastAsia" w:cs="Times New Roman"/>
              <w:szCs w:val="22"/>
              <w:lang w:val="en-US" w:eastAsia="zh-CN"/>
            </w:rPr>
            <w:t>5.</w:t>
          </w:r>
          <w:r>
            <w:rPr>
              <w:rFonts w:hint="default" w:ascii="Times New Roman" w:hAnsi="Times New Roman" w:eastAsia="宋体" w:cs="Times New Roman"/>
              <w:szCs w:val="22"/>
              <w:lang w:val="en-US" w:eastAsia="zh-CN"/>
            </w:rPr>
            <w:t>关联规则提升度偏低</w:t>
          </w:r>
          <w:r>
            <w:tab/>
          </w:r>
          <w:r>
            <w:fldChar w:fldCharType="begin"/>
          </w:r>
          <w:r>
            <w:instrText xml:space="preserve"> PAGEREF _Toc18434 \h </w:instrText>
          </w:r>
          <w:r>
            <w:fldChar w:fldCharType="separate"/>
          </w:r>
          <w:r>
            <w:t>25</w:t>
          </w:r>
          <w:r>
            <w:fldChar w:fldCharType="end"/>
          </w:r>
          <w:r>
            <w:rPr>
              <w:rFonts w:hint="eastAsia"/>
              <w:szCs w:val="24"/>
              <w:lang w:val="en-US" w:eastAsia="zh-CN"/>
            </w:rPr>
            <w:fldChar w:fldCharType="end"/>
          </w:r>
        </w:p>
        <w:p w14:paraId="13692B8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_Toc3111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改进方向</w:t>
          </w:r>
          <w:r>
            <w:tab/>
          </w:r>
          <w:r>
            <w:fldChar w:fldCharType="begin"/>
          </w:r>
          <w:r>
            <w:instrText xml:space="preserve"> PAGEREF _Toc3111 \h </w:instrText>
          </w:r>
          <w:r>
            <w:fldChar w:fldCharType="separate"/>
          </w:r>
          <w:r>
            <w:t>25</w:t>
          </w:r>
          <w:r>
            <w:fldChar w:fldCharType="end"/>
          </w:r>
          <w:r>
            <w:rPr>
              <w:rFonts w:hint="eastAsia"/>
              <w:szCs w:val="24"/>
              <w:lang w:val="en-US" w:eastAsia="zh-CN"/>
            </w:rPr>
            <w:fldChar w:fldCharType="end"/>
          </w:r>
        </w:p>
        <w:p w14:paraId="5BD25405">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_Toc13482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参考文献</w:t>
          </w:r>
          <w:r>
            <w:tab/>
          </w:r>
          <w:r>
            <w:fldChar w:fldCharType="begin"/>
          </w:r>
          <w:r>
            <w:instrText xml:space="preserve"> PAGEREF _Toc13482 \h </w:instrText>
          </w:r>
          <w:r>
            <w:fldChar w:fldCharType="separate"/>
          </w:r>
          <w:r>
            <w:t>25</w:t>
          </w:r>
          <w:r>
            <w:fldChar w:fldCharType="end"/>
          </w:r>
          <w:r>
            <w:rPr>
              <w:rFonts w:hint="eastAsia"/>
              <w:szCs w:val="24"/>
              <w:lang w:val="en-US" w:eastAsia="zh-CN"/>
            </w:rPr>
            <w:fldChar w:fldCharType="end"/>
          </w:r>
        </w:p>
        <w:p w14:paraId="3CC70EF6">
          <w:pPr>
            <w:rPr>
              <w:rFonts w:hint="eastAsia" w:ascii="Times New Roman" w:hAnsi="Times New Roman" w:eastAsia="宋体" w:cs="Times New Roman"/>
              <w:kern w:val="2"/>
              <w:sz w:val="21"/>
              <w:szCs w:val="24"/>
              <w:lang w:val="en-US" w:eastAsia="zh-CN" w:bidi="ar-SA"/>
            </w:rPr>
            <w:sectPr>
              <w:pgSz w:w="11906" w:h="16838"/>
              <w:pgMar w:top="1134" w:right="1418" w:bottom="1134" w:left="1418" w:header="851" w:footer="992" w:gutter="0"/>
              <w:cols w:space="720" w:num="1"/>
              <w:docGrid w:type="lines" w:linePitch="312" w:charSpace="0"/>
            </w:sectPr>
          </w:pPr>
          <w:r>
            <w:rPr>
              <w:rFonts w:hint="eastAsia"/>
              <w:szCs w:val="24"/>
              <w:lang w:val="en-US" w:eastAsia="zh-CN"/>
            </w:rPr>
            <w:fldChar w:fldCharType="end"/>
          </w:r>
        </w:p>
      </w:sdtContent>
    </w:sdt>
    <w:p w14:paraId="3983823F">
      <w:pPr>
        <w:numPr>
          <w:ilvl w:val="0"/>
          <w:numId w:val="0"/>
        </w:numPr>
        <w:ind w:left="0" w:leftChars="0" w:firstLine="0" w:firstLineChars="0"/>
        <w:jc w:val="center"/>
        <w:outlineLvl w:val="0"/>
        <w:rPr>
          <w:rFonts w:hint="eastAsia"/>
          <w:b/>
          <w:bCs/>
          <w:sz w:val="24"/>
          <w:szCs w:val="24"/>
          <w:lang w:val="en-US" w:eastAsia="zh-CN"/>
        </w:rPr>
      </w:pPr>
      <w:bookmarkStart w:id="2" w:name="_Toc30713"/>
      <w:bookmarkStart w:id="3" w:name="_Toc23861"/>
      <w:r>
        <w:rPr>
          <w:rFonts w:hint="eastAsia" w:ascii="Times New Roman" w:hAnsi="Times New Roman" w:eastAsia="宋体" w:cs="Times New Roman"/>
          <w:b/>
          <w:bCs/>
          <w:kern w:val="2"/>
          <w:sz w:val="24"/>
          <w:szCs w:val="24"/>
          <w:lang w:val="en-US" w:eastAsia="zh-CN" w:bidi="ar-SA"/>
        </w:rPr>
        <w:t>一、</w:t>
      </w:r>
      <w:r>
        <w:rPr>
          <w:rFonts w:hint="eastAsia"/>
          <w:b/>
          <w:bCs/>
          <w:sz w:val="24"/>
          <w:szCs w:val="24"/>
          <w:lang w:val="en-US" w:eastAsia="zh-CN"/>
        </w:rPr>
        <w:t>问题背景</w:t>
      </w:r>
      <w:bookmarkEnd w:id="2"/>
      <w:bookmarkEnd w:id="3"/>
    </w:p>
    <w:p w14:paraId="18147C09">
      <w:pPr>
        <w:ind w:firstLine="440" w:firstLineChars="200"/>
        <w:rPr>
          <w:rFonts w:hint="eastAsia"/>
          <w:sz w:val="22"/>
          <w:szCs w:val="22"/>
        </w:rPr>
      </w:pPr>
      <w:r>
        <w:rPr>
          <w:rFonts w:hint="eastAsia"/>
          <w:sz w:val="22"/>
          <w:szCs w:val="22"/>
        </w:rPr>
        <w:t>人口老龄化进程的持续加快，使得40岁及以上中老年人群成为慢性病防控的核心群体。其中，高血脂症（血脂异常）的发病率呈逐年攀升态势。根据《中国心血管健康与疾病报告2022》，我国成人血脂异常的患病率已高</w:t>
      </w:r>
      <w:r>
        <w:rPr>
          <w:rFonts w:hint="eastAsia"/>
          <w:sz w:val="22"/>
          <w:szCs w:val="22"/>
          <w:lang w:val="en-US" w:eastAsia="zh-CN"/>
        </w:rPr>
        <w:t>达</w:t>
      </w:r>
      <w:r>
        <w:rPr>
          <w:rFonts w:hint="eastAsia"/>
          <w:sz w:val="22"/>
          <w:szCs w:val="22"/>
        </w:rPr>
        <w:t xml:space="preserve">35.6% </w:t>
      </w:r>
      <w:r>
        <w:rPr>
          <w:rFonts w:hint="eastAsia"/>
          <w:sz w:val="22"/>
          <w:szCs w:val="22"/>
          <w:vertAlign w:val="superscript"/>
        </w:rPr>
        <w:t>[1]</w:t>
      </w:r>
      <w:r>
        <w:rPr>
          <w:rFonts w:hint="eastAsia"/>
          <w:sz w:val="22"/>
          <w:szCs w:val="22"/>
        </w:rPr>
        <w:t>。高血脂症已成为诱发冠心病、脑梗死等动脉粥样硬化性心脑血管疾病（ASCVD）的重要危险因素，严重威胁中老年群体的心血管健康与生活质量</w:t>
      </w:r>
      <w:r>
        <w:rPr>
          <w:rFonts w:hint="eastAsia"/>
          <w:sz w:val="22"/>
          <w:szCs w:val="22"/>
          <w:vertAlign w:val="superscript"/>
        </w:rPr>
        <w:t>[2]</w:t>
      </w:r>
      <w:r>
        <w:rPr>
          <w:rFonts w:hint="eastAsia"/>
          <w:sz w:val="22"/>
          <w:szCs w:val="22"/>
        </w:rPr>
        <w:t>。</w:t>
      </w:r>
    </w:p>
    <w:p w14:paraId="13A2E60C">
      <w:pPr>
        <w:ind w:firstLine="440" w:firstLineChars="200"/>
        <w:rPr>
          <w:rFonts w:hint="eastAsia"/>
          <w:sz w:val="22"/>
          <w:szCs w:val="22"/>
        </w:rPr>
      </w:pPr>
      <w:r>
        <w:rPr>
          <w:rFonts w:hint="eastAsia"/>
          <w:sz w:val="22"/>
          <w:szCs w:val="22"/>
        </w:rPr>
        <w:t>从中医体质学视角来看，体质禀赋与偏颇是疾病发生发展的内在根基。其中，痰湿体质被公认为中老年高血脂症的高发体质类型</w:t>
      </w:r>
      <w:r>
        <w:rPr>
          <w:rFonts w:hint="eastAsia"/>
          <w:sz w:val="22"/>
          <w:szCs w:val="22"/>
          <w:vertAlign w:val="superscript"/>
        </w:rPr>
        <w:t>[3]</w:t>
      </w:r>
      <w:r>
        <w:rPr>
          <w:rFonts w:hint="eastAsia"/>
          <w:sz w:val="22"/>
          <w:szCs w:val="22"/>
        </w:rPr>
        <w:t>。该体质人群存在痰湿内蕴、脾胃运化失常、水湿代谢不畅的核心特征；而脾失健运、痰湿阻滞恰与西医血脂代谢异常的病理机制高度契合。痰湿膏脂内停于脉道，终致血脂紊乱，二者的病理关联为中西医结合防控高血脂症提供了重要理论支撑</w:t>
      </w:r>
      <w:r>
        <w:rPr>
          <w:rFonts w:hint="eastAsia"/>
          <w:sz w:val="22"/>
          <w:szCs w:val="22"/>
          <w:vertAlign w:val="superscript"/>
        </w:rPr>
        <w:t>[4]</w:t>
      </w:r>
      <w:r>
        <w:rPr>
          <w:rFonts w:hint="eastAsia"/>
          <w:sz w:val="22"/>
          <w:szCs w:val="22"/>
        </w:rPr>
        <w:t>。同时，中老年人日常活动能力（ADL/IADL）的强弱直接影响机体气血津液的运行与脏腑功能的调和，与痰湿体质的改善及体内膏脂的代谢呈显著正相关</w:t>
      </w:r>
      <w:r>
        <w:rPr>
          <w:rFonts w:hint="eastAsia"/>
          <w:sz w:val="22"/>
          <w:szCs w:val="22"/>
          <w:vertAlign w:val="superscript"/>
        </w:rPr>
        <w:t>[5]</w:t>
      </w:r>
      <w:r>
        <w:rPr>
          <w:rFonts w:hint="eastAsia"/>
          <w:sz w:val="22"/>
          <w:szCs w:val="22"/>
        </w:rPr>
        <w:t>。</w:t>
      </w:r>
    </w:p>
    <w:p w14:paraId="6CD982AF">
      <w:pPr>
        <w:ind w:firstLine="440" w:firstLineChars="200"/>
        <w:rPr>
          <w:rFonts w:hint="eastAsia"/>
          <w:sz w:val="22"/>
          <w:szCs w:val="22"/>
        </w:rPr>
      </w:pPr>
      <w:r>
        <w:rPr>
          <w:rFonts w:hint="eastAsia"/>
          <w:sz w:val="22"/>
          <w:szCs w:val="22"/>
        </w:rPr>
        <w:t>然而，目前临床实践中对中老年高血脂症的防治仍面临严谨挑战。最新发布的《中国血脂管理指南（2023年）》指出，尽管血脂管理策略在不断进步，但我国人群血脂合适水平随 ASCVD 危险分层而异，单一的生化指标监测往往难以实现对高危人群的精准预警与早期干预</w:t>
      </w:r>
      <w:r>
        <w:rPr>
          <w:rFonts w:hint="eastAsia"/>
          <w:sz w:val="22"/>
          <w:szCs w:val="22"/>
          <w:vertAlign w:val="superscript"/>
        </w:rPr>
        <w:t>[6]</w:t>
      </w:r>
      <w:r>
        <w:rPr>
          <w:rFonts w:hint="eastAsia"/>
          <w:sz w:val="22"/>
          <w:szCs w:val="22"/>
        </w:rPr>
        <w:t>。</w:t>
      </w:r>
    </w:p>
    <w:p w14:paraId="63EE8D45">
      <w:pPr>
        <w:ind w:firstLine="440" w:firstLineChars="200"/>
        <w:rPr>
          <w:rFonts w:hint="eastAsia"/>
          <w:sz w:val="22"/>
          <w:szCs w:val="22"/>
        </w:rPr>
      </w:pPr>
      <w:r>
        <w:rPr>
          <w:rFonts w:hint="eastAsia"/>
          <w:sz w:val="22"/>
          <w:szCs w:val="22"/>
        </w:rPr>
        <w:t>为此，通过融合中医体质特征量化指标、活动量表评分及血常规等多维数据，构建中老年高血脂症的风险预警模型，识别“痰湿体质-低活动量-血脂异常”的核心关联特征，对于推动慢病管理从“被动治疗”向“主动预防”转型，提升基层医疗服务效能具有重要的科学价值与社会意义。</w:t>
      </w:r>
    </w:p>
    <w:p w14:paraId="5FF513F0">
      <w:pPr>
        <w:ind w:firstLine="440" w:firstLineChars="200"/>
        <w:rPr>
          <w:rFonts w:hint="eastAsia"/>
          <w:sz w:val="22"/>
          <w:szCs w:val="22"/>
        </w:rPr>
      </w:pPr>
    </w:p>
    <w:p w14:paraId="6F3C18B3">
      <w:pPr>
        <w:numPr>
          <w:ilvl w:val="0"/>
          <w:numId w:val="0"/>
        </w:numPr>
        <w:ind w:left="0" w:leftChars="0" w:firstLine="0" w:firstLineChars="0"/>
        <w:jc w:val="center"/>
        <w:outlineLvl w:val="0"/>
        <w:rPr>
          <w:sz w:val="22"/>
          <w:szCs w:val="22"/>
        </w:rPr>
      </w:pPr>
      <w:bookmarkStart w:id="4" w:name="_Toc10613"/>
      <w:bookmarkStart w:id="5" w:name="_Toc9151"/>
      <w:r>
        <w:rPr>
          <w:rFonts w:hint="eastAsia" w:ascii="Times New Roman" w:hAnsi="Times New Roman" w:eastAsia="宋体" w:cs="Times New Roman"/>
          <w:b/>
          <w:bCs/>
          <w:kern w:val="2"/>
          <w:sz w:val="24"/>
          <w:szCs w:val="24"/>
          <w:lang w:val="en-US" w:eastAsia="zh-CN" w:bidi="ar-SA"/>
        </w:rPr>
        <w:t>二、</w:t>
      </w:r>
      <w:r>
        <w:rPr>
          <w:rFonts w:hint="eastAsia"/>
          <w:b/>
          <w:bCs/>
          <w:sz w:val="24"/>
          <w:szCs w:val="24"/>
          <w:lang w:val="en-US" w:eastAsia="zh-CN"/>
        </w:rPr>
        <w:t>问题分析</w:t>
      </w:r>
      <w:bookmarkEnd w:id="4"/>
      <w:bookmarkEnd w:id="5"/>
    </w:p>
    <w:p w14:paraId="4C5C27B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本次竞赛针对中老年高血脂症的防控难题，旨在融合中医体质学说与西医临床指标，通过数学建模实现精准的风险预警与个性化干预。题目通过三个核心问题，引导参赛者完成从“特征筛选”到“风险分层”再到“方案优化”的完整研究链路。 </w:t>
      </w:r>
    </w:p>
    <w:p w14:paraId="55B6209E">
      <w:pPr>
        <w:ind w:firstLine="440" w:firstLineChars="200"/>
        <w:outlineLvl w:val="9"/>
        <w:rPr>
          <w:rFonts w:hint="eastAsia" w:ascii="Times New Roman" w:hAnsi="Times New Roman" w:eastAsia="宋体" w:cs="Times New Roman"/>
          <w:sz w:val="22"/>
          <w:szCs w:val="22"/>
        </w:rPr>
      </w:pPr>
      <w:bookmarkStart w:id="6" w:name="_Toc27134"/>
      <w:r>
        <w:rPr>
          <w:rFonts w:hint="eastAsia" w:ascii="Times New Roman" w:hAnsi="Times New Roman" w:eastAsia="宋体" w:cs="Times New Roman"/>
          <w:sz w:val="22"/>
          <w:szCs w:val="22"/>
        </w:rPr>
        <w:t>针对问题一：关键指标筛选与体质贡献度研究</w:t>
      </w:r>
      <w:bookmarkEnd w:id="6"/>
    </w:p>
    <w:p w14:paraId="0C67CA2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该问题的核心在于从海量的体检数据和量表评分中提取最具解释性的特征。 挑战在于处理血常规指标与痰湿体质程度之间的非线性关系。 我们需要建立一种特征重要性评价机制（如随机森林特征选择或相关性分析），识别出既能敏锐反映痰湿内蕴程度，又能有效预警高血脂发病风险的“风向标”指标。 同时，通过量化九种不同中医体质在发病样本中的分布及权重，揭示体质禀赋对疾病易感性的差异化贡献。 </w:t>
      </w:r>
    </w:p>
    <w:p w14:paraId="547BB36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针对问题二：多维度融合的风险预警模型构建</w:t>
      </w:r>
    </w:p>
    <w:p w14:paraId="1B7ED6B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此问题的重点是实现从单一指标评估向多维度综合评估的跨越。 我们需要构建一个分类预测模型，输出低、中、高三级风险。 难点在于确立具有医学解释力的分层阈值依据，例如如何平衡“痰湿积分”与“血脂指标”在不同风险等级中的阈值设定。 此外，模型还需识别出“体质+行为+生化”的核心高危特征组合（如：痰湿体质且低活动量且血脂偏高），并结合中医病机与西医病理给出合理的因果解释。 </w:t>
      </w:r>
    </w:p>
    <w:p w14:paraId="31F117D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针对问题三：基于个体特征的干预方案优化设计</w:t>
      </w:r>
    </w:p>
    <w:p w14:paraId="03E0575F">
      <w:pPr>
        <w:ind w:firstLine="440" w:firstLineChars="200"/>
        <w:rPr>
          <w:sz w:val="24"/>
          <w:szCs w:val="24"/>
        </w:rPr>
      </w:pPr>
      <w:r>
        <w:rPr>
          <w:rFonts w:hint="eastAsia" w:ascii="Times New Roman" w:hAnsi="Times New Roman" w:eastAsia="宋体" w:cs="Times New Roman"/>
          <w:sz w:val="22"/>
          <w:szCs w:val="22"/>
        </w:rPr>
        <w:t xml:space="preserve">该问题要求将预警转化为行动，针对确诊为“痰湿体质”的特定人群制定闭环干预策略。 这是一个多目标优化问题：在确保方案符合中医调理原则（治本）与患者身体耐受度（安全）的前提下，追求痰湿积分降低的最大化以及经济成本的最小化。 模型需要产出一种动态的匹配规律，能够根据患者不同的初始体征、活动能力和经济承受力，自动生成为期6个月的个性化干预路径，并对典型样本（ID 1、2、3）给出具体的最优方案建议。 </w:t>
      </w:r>
    </w:p>
    <w:p w14:paraId="0908A11E">
      <w:pPr>
        <w:rPr>
          <w:sz w:val="24"/>
          <w:szCs w:val="24"/>
        </w:rPr>
      </w:pPr>
    </w:p>
    <w:p w14:paraId="506420E5">
      <w:pPr>
        <w:numPr>
          <w:ilvl w:val="0"/>
          <w:numId w:val="1"/>
        </w:numPr>
        <w:ind w:left="0" w:leftChars="0" w:firstLine="0" w:firstLineChars="0"/>
        <w:jc w:val="center"/>
        <w:outlineLvl w:val="0"/>
        <w:rPr>
          <w:rFonts w:hint="default"/>
          <w:b/>
          <w:bCs/>
          <w:sz w:val="24"/>
          <w:szCs w:val="24"/>
          <w:lang w:val="en-US" w:eastAsia="zh-CN"/>
        </w:rPr>
      </w:pPr>
      <w:bookmarkStart w:id="7" w:name="_Toc10057"/>
      <w:bookmarkStart w:id="8" w:name="_Toc32762"/>
      <w:r>
        <w:rPr>
          <w:rFonts w:hint="eastAsia"/>
          <w:b/>
          <w:bCs/>
          <w:sz w:val="24"/>
          <w:szCs w:val="24"/>
          <w:lang w:val="en-US" w:eastAsia="zh-CN"/>
        </w:rPr>
        <w:t>模型的假设</w:t>
      </w:r>
      <w:bookmarkEnd w:id="7"/>
      <w:bookmarkEnd w:id="8"/>
    </w:p>
    <w:p w14:paraId="128EBA1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1.</w:t>
      </w:r>
      <w:r>
        <w:rPr>
          <w:rFonts w:hint="eastAsia" w:ascii="Times New Roman" w:hAnsi="Times New Roman" w:eastAsia="宋体" w:cs="Times New Roman"/>
          <w:sz w:val="22"/>
          <w:szCs w:val="22"/>
        </w:rPr>
        <w:t>数据质量与真实性假设：假设附件所提供的中老年人群体质特征、日常活动能力、血脂指标及诊断信息数据均是真实有效的，且能够代表目标人群的普遍健康状态，不考虑极端异常录入错误对模型整体趋势的影响。</w:t>
      </w:r>
    </w:p>
    <w:p w14:paraId="16CF7AC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2.</w:t>
      </w:r>
      <w:r>
        <w:rPr>
          <w:rFonts w:hint="eastAsia" w:ascii="Times New Roman" w:hAnsi="Times New Roman" w:eastAsia="宋体" w:cs="Times New Roman"/>
          <w:sz w:val="22"/>
          <w:szCs w:val="22"/>
        </w:rPr>
        <w:t>体质与指标稳定性假设：假设在数据采集的时间点，受试者的中医体质类型（如痰湿质）与生化指标（如 LDL-C、TG 等）处于相对稳定的状态，不考虑采样前瞬时饮食波动（如前一晚暴饮暴食）对长期风险评估造成的显著偏差。</w:t>
      </w:r>
    </w:p>
    <w:p w14:paraId="6491854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3.</w:t>
      </w:r>
      <w:r>
        <w:rPr>
          <w:rFonts w:hint="eastAsia" w:ascii="Times New Roman" w:hAnsi="Times New Roman" w:eastAsia="宋体" w:cs="Times New Roman"/>
          <w:sz w:val="22"/>
          <w:szCs w:val="22"/>
        </w:rPr>
        <w:t>因素独立性简化假设：在进行特征重要性分析时，假设各级指标（如中医体质、活动能力、血脂）虽有病理关联，但作为输入变量时，其采集过程是相互独立的，忽略未观测到的第三方环境因素（如空气质量、遗传突变等）对本研究预测目标的干扰。</w:t>
      </w:r>
    </w:p>
    <w:p w14:paraId="3AE0CCB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4.</w:t>
      </w:r>
      <w:r>
        <w:rPr>
          <w:rFonts w:hint="eastAsia" w:ascii="Times New Roman" w:hAnsi="Times New Roman" w:eastAsia="宋体" w:cs="Times New Roman"/>
          <w:sz w:val="22"/>
          <w:szCs w:val="22"/>
        </w:rPr>
        <w:t>干预方案线性叠加假设：在优化干预方案时，假设中医体质调理（如饮食指导）与日常活动（如增加运动量）对血脂水平的改善具有协同作用，且在一定范围内这种正面效应是可叠加的，忽略极端情况下两种干预手段产生的抵触反应。</w:t>
      </w:r>
    </w:p>
    <w:p w14:paraId="451DC8E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临床标准一致性假设：假设模型中判别高血脂症的标准（二分类及多分类标签）严格遵循附件提供的临床参考范围，且该标准在研究周期内保持一致，不随医疗指南的微调而改变。</w:t>
      </w:r>
    </w:p>
    <w:p w14:paraId="03AC8B1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6.</w:t>
      </w:r>
      <w:r>
        <w:rPr>
          <w:rFonts w:hint="eastAsia" w:ascii="Times New Roman" w:hAnsi="Times New Roman" w:eastAsia="宋体" w:cs="Times New Roman"/>
          <w:sz w:val="22"/>
          <w:szCs w:val="22"/>
        </w:rPr>
        <w:t>预测目标滞后性忽略假设：假设通过当前静态数据预测出的风险概率能有效反映受试者近期的患病风险，忽略慢性病发生发展中可能存在的极长周期潜伏性。</w:t>
      </w:r>
    </w:p>
    <w:p w14:paraId="17E1C693">
      <w:pPr>
        <w:numPr>
          <w:ilvl w:val="0"/>
          <w:numId w:val="0"/>
        </w:numPr>
        <w:ind w:left="0" w:leftChars="0" w:firstLine="0" w:firstLineChars="0"/>
        <w:jc w:val="center"/>
        <w:rPr>
          <w:rFonts w:hint="eastAsia" w:ascii="Times New Roman" w:hAnsi="Times New Roman" w:eastAsia="宋体" w:cs="Times New Roman"/>
          <w:b/>
          <w:bCs/>
          <w:kern w:val="2"/>
          <w:sz w:val="24"/>
          <w:szCs w:val="24"/>
          <w:lang w:val="en-US" w:eastAsia="zh-CN" w:bidi="ar-SA"/>
        </w:rPr>
      </w:pPr>
    </w:p>
    <w:p w14:paraId="021646C0">
      <w:pPr>
        <w:numPr>
          <w:ilvl w:val="0"/>
          <w:numId w:val="0"/>
        </w:numPr>
        <w:ind w:left="0" w:leftChars="0" w:firstLine="0" w:firstLineChars="0"/>
        <w:jc w:val="center"/>
        <w:outlineLvl w:val="0"/>
        <w:rPr>
          <w:rFonts w:hint="default" w:ascii="Times New Roman" w:hAnsi="Times New Roman" w:eastAsia="宋体" w:cs="Times New Roman"/>
          <w:b/>
          <w:bCs/>
          <w:kern w:val="2"/>
          <w:sz w:val="24"/>
          <w:szCs w:val="24"/>
          <w:lang w:val="en-US" w:eastAsia="zh-CN" w:bidi="ar-SA"/>
        </w:rPr>
      </w:pPr>
      <w:bookmarkStart w:id="9" w:name="_Toc20677"/>
      <w:r>
        <w:rPr>
          <w:rFonts w:hint="eastAsia" w:ascii="Times New Roman" w:hAnsi="Times New Roman" w:eastAsia="宋体" w:cs="Times New Roman"/>
          <w:b/>
          <w:bCs/>
          <w:kern w:val="2"/>
          <w:sz w:val="24"/>
          <w:szCs w:val="24"/>
          <w:lang w:val="en-US" w:eastAsia="zh-CN" w:bidi="ar-SA"/>
        </w:rPr>
        <w:t>四、符号说明</w:t>
      </w:r>
      <w:bookmarkEnd w:id="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3371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7407C50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符号</w:t>
            </w:r>
          </w:p>
        </w:tc>
        <w:tc>
          <w:tcPr>
            <w:tcW w:w="4643" w:type="dxa"/>
            <w:tcBorders>
              <w:top w:val="single" w:color="000000" w:sz="12" w:space="0"/>
              <w:left w:val="nil"/>
              <w:bottom w:val="single" w:color="000000" w:sz="4" w:space="0"/>
              <w:right w:val="nil"/>
            </w:tcBorders>
            <w:shd w:val="clear" w:color="auto" w:fill="FFFFFF"/>
            <w:vAlign w:val="center"/>
          </w:tcPr>
          <w:p w14:paraId="327C477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符号说明</w:t>
            </w:r>
          </w:p>
        </w:tc>
      </w:tr>
      <w:tr w14:paraId="4173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468147D2">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X</m:t>
                </m:r>
              </m:oMath>
            </m:oMathPara>
          </w:p>
        </w:tc>
        <w:tc>
          <w:tcPr>
            <w:tcW w:w="4643" w:type="dxa"/>
            <w:tcBorders>
              <w:top w:val="single" w:color="000000" w:sz="4" w:space="0"/>
              <w:left w:val="nil"/>
              <w:bottom w:val="nil"/>
              <w:right w:val="nil"/>
            </w:tcBorders>
            <w:shd w:val="clear" w:color="auto" w:fill="FFFFFF"/>
            <w:vAlign w:val="center"/>
          </w:tcPr>
          <w:p w14:paraId="0C87FEB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原始特征观测值</w:t>
            </w:r>
          </w:p>
        </w:tc>
      </w:tr>
      <w:tr w14:paraId="7B9E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3F4A3F43">
            <w:pPr>
              <w:keepNext w:val="0"/>
              <w:keepLines w:val="0"/>
              <w:widowControl/>
              <w:suppressLineNumbers w:val="0"/>
              <w:jc w:val="center"/>
              <w:textAlignment w:val="center"/>
              <w:rPr>
                <w:b w:val="0"/>
                <w:color w:val="000000"/>
                <w:sz w:val="24"/>
                <w:szCs w:val="24"/>
                <w:vertAlign w:val="baseline"/>
              </w:rPr>
            </w:pPr>
            <m:oMathPara>
              <m:oMath>
                <m:sSub>
                  <m:sSubPr>
                    <m:ctrlPr>
                      <w:rPr>
                        <w:rFonts w:hint="eastAsia" w:ascii="Cambria Math" w:hAnsi="Cambria Math" w:eastAsia="宋体" w:cs="宋体"/>
                        <w:b w:val="0"/>
                        <w:i w:val="0"/>
                        <w:iCs w:val="0"/>
                        <w:color w:val="000000"/>
                        <w:kern w:val="0"/>
                        <w:sz w:val="22"/>
                        <w:szCs w:val="22"/>
                        <w:u w:val="none"/>
                        <w:lang w:val="en-US" w:eastAsia="zh-CN" w:bidi="ar"/>
                      </w:rPr>
                    </m:ctrlPr>
                  </m:sSubPr>
                  <m:e>
                    <m:r>
                      <m:rPr>
                        <m:sty m:val="p"/>
                      </m:rPr>
                      <w:rPr>
                        <w:rFonts w:hint="eastAsia" w:ascii="Cambria Math" w:hAnsi="Cambria Math" w:eastAsia="宋体" w:cs="宋体"/>
                        <w:color w:val="000000"/>
                        <w:kern w:val="0"/>
                        <w:sz w:val="22"/>
                        <w:szCs w:val="22"/>
                        <w:u w:val="none"/>
                        <w:lang w:val="en-US" w:eastAsia="zh-CN" w:bidi="ar"/>
                      </w:rPr>
                      <m:t>X</m:t>
                    </m:r>
                    <m:ctrlPr>
                      <w:rPr>
                        <w:rFonts w:hint="eastAsia" w:ascii="Cambria Math" w:hAnsi="Cambria Math" w:eastAsia="宋体" w:cs="宋体"/>
                        <w:b w:val="0"/>
                        <w:i w:val="0"/>
                        <w:iCs w:val="0"/>
                        <w:color w:val="000000"/>
                        <w:kern w:val="0"/>
                        <w:sz w:val="22"/>
                        <w:szCs w:val="22"/>
                        <w:u w:val="none"/>
                        <w:lang w:val="en-US" w:eastAsia="zh-CN" w:bidi="ar"/>
                      </w:rPr>
                    </m:ctrlPr>
                  </m:e>
                  <m:sub>
                    <m:r>
                      <m:rPr>
                        <m:sty m:val="p"/>
                      </m:rPr>
                      <w:rPr>
                        <w:rFonts w:hint="eastAsia" w:ascii="Cambria Math" w:hAnsi="Cambria Math" w:cs="宋体"/>
                        <w:color w:val="000000"/>
                        <w:kern w:val="0"/>
                        <w:sz w:val="22"/>
                        <w:szCs w:val="22"/>
                        <w:u w:val="none"/>
                        <w:lang w:val="en-US" w:eastAsia="zh-CN" w:bidi="ar"/>
                      </w:rPr>
                      <m:t>new</m:t>
                    </m:r>
                    <m:ctrlPr>
                      <w:rPr>
                        <w:rFonts w:hint="eastAsia" w:ascii="Cambria Math" w:hAnsi="Cambria Math" w:cs="宋体"/>
                        <w:b w:val="0"/>
                        <w:i w:val="0"/>
                        <w:iCs w:val="0"/>
                        <w:color w:val="000000"/>
                        <w:kern w:val="0"/>
                        <w:sz w:val="22"/>
                        <w:szCs w:val="22"/>
                        <w:u w:val="none"/>
                        <w:lang w:val="en-US" w:eastAsia="zh-CN" w:bidi="ar"/>
                      </w:rPr>
                    </m:ctrlPr>
                  </m:sub>
                </m:sSub>
              </m:oMath>
            </m:oMathPara>
          </w:p>
        </w:tc>
        <w:tc>
          <w:tcPr>
            <w:tcW w:w="4643" w:type="dxa"/>
            <w:tcBorders>
              <w:top w:val="nil"/>
              <w:left w:val="nil"/>
              <w:bottom w:val="nil"/>
              <w:right w:val="nil"/>
            </w:tcBorders>
            <w:shd w:val="clear" w:color="auto" w:fill="FFFFFF"/>
            <w:vAlign w:val="center"/>
          </w:tcPr>
          <w:p w14:paraId="6D5FBBD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归一化处理后的特征值</w:t>
            </w:r>
          </w:p>
        </w:tc>
      </w:tr>
      <w:tr w14:paraId="5813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7E7746E">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X</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min</m:t>
                    </m:r>
                    <m:ctrlPr>
                      <w:rPr>
                        <w:rFonts w:ascii="Cambria Math" w:hAnsi="Cambria Math"/>
                        <w:i/>
                        <w:color w:val="000000"/>
                        <w:sz w:val="24"/>
                        <w:szCs w:val="24"/>
                        <w:vertAlign w:val="baseline"/>
                      </w:rPr>
                    </m:ctrlPr>
                  </m:sub>
                </m:sSub>
                <m:r>
                  <m:rPr/>
                  <w:rPr>
                    <w:rFonts w:hint="eastAsia" w:ascii="Cambria Math" w:hAnsi="Cambria Math"/>
                    <w:color w:val="000000"/>
                    <w:sz w:val="24"/>
                    <w:szCs w:val="24"/>
                    <w:vertAlign w:val="baseline"/>
                    <w:lang w:eastAsia="zh-CN"/>
                  </w:rPr>
                  <m:t>、</m:t>
                </m:r>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X</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max</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31BBC8E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特征全局最小值、最大值</w:t>
            </w:r>
          </w:p>
        </w:tc>
      </w:tr>
      <w:tr w14:paraId="6273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28AEC58">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Loss</m:t>
                </m:r>
              </m:oMath>
            </m:oMathPara>
          </w:p>
        </w:tc>
        <w:tc>
          <w:tcPr>
            <w:tcW w:w="4643" w:type="dxa"/>
            <w:tcBorders>
              <w:top w:val="nil"/>
              <w:left w:val="nil"/>
              <w:bottom w:val="nil"/>
              <w:right w:val="nil"/>
            </w:tcBorders>
            <w:shd w:val="clear" w:color="auto" w:fill="FFFFFF"/>
            <w:vAlign w:val="center"/>
          </w:tcPr>
          <w:p w14:paraId="024ADD1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模型损失函数</w:t>
            </w:r>
          </w:p>
        </w:tc>
      </w:tr>
      <w:tr w14:paraId="6BEC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25E527AD">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ascii="Cambria Math" w:hAnsi="Cambria Math"/>
                        <w:color w:val="000000"/>
                        <w:sz w:val="24"/>
                        <w:szCs w:val="24"/>
                        <w:vertAlign w:val="baseline"/>
                      </w:rPr>
                      <m:t>β</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0</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31690F6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逻辑回归截距项</w:t>
            </w:r>
          </w:p>
        </w:tc>
      </w:tr>
      <w:tr w14:paraId="1BC5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ABF9C67">
            <w:pPr>
              <w:keepNext w:val="0"/>
              <w:keepLines w:val="0"/>
              <w:widowControl/>
              <w:suppressLineNumbers w:val="0"/>
              <w:jc w:val="center"/>
              <w:textAlignment w:val="center"/>
              <w:rPr>
                <w:rFonts w:hint="default"/>
                <w:b w:val="0"/>
                <w:color w:val="000000"/>
                <w:sz w:val="24"/>
                <w:szCs w:val="24"/>
                <w:vertAlign w:val="baseline"/>
                <w:lang w:val="en-US"/>
              </w:rPr>
            </w:pPr>
            <m:oMathPara>
              <m:oMath>
                <m:sSub>
                  <m:sSubPr>
                    <m:ctrlPr>
                      <w:rPr>
                        <w:rFonts w:ascii="Cambria Math" w:hAnsi="Cambria Math"/>
                        <w:i/>
                        <w:color w:val="000000"/>
                        <w:sz w:val="24"/>
                        <w:szCs w:val="24"/>
                        <w:vertAlign w:val="baseline"/>
                        <w:lang w:val="en-US"/>
                      </w:rPr>
                    </m:ctrlPr>
                  </m:sSubPr>
                  <m:e>
                    <m:r>
                      <m:rPr/>
                      <w:rPr>
                        <w:rFonts w:ascii="Cambria Math" w:hAnsi="Cambria Math"/>
                        <w:color w:val="000000"/>
                        <w:sz w:val="24"/>
                        <w:szCs w:val="24"/>
                        <w:vertAlign w:val="baseline"/>
                        <w:lang w:val="en-US"/>
                      </w:rPr>
                      <m:t>β</m:t>
                    </m:r>
                    <m:ctrlPr>
                      <w:rPr>
                        <w:rFonts w:ascii="Cambria Math" w:hAnsi="Cambria Math"/>
                        <w:i/>
                        <w:color w:val="000000"/>
                        <w:sz w:val="24"/>
                        <w:szCs w:val="24"/>
                        <w:vertAlign w:val="baseline"/>
                        <w:lang w:val="en-US"/>
                      </w:rPr>
                    </m:ctrlPr>
                  </m:e>
                  <m:sub>
                    <m:r>
                      <m:rPr/>
                      <w:rPr>
                        <w:rFonts w:hint="default" w:ascii="Cambria Math" w:hAnsi="Cambria Math"/>
                        <w:color w:val="000000"/>
                        <w:sz w:val="24"/>
                        <w:szCs w:val="24"/>
                        <w:vertAlign w:val="baseline"/>
                        <w:lang w:val="en-US" w:eastAsia="zh-CN"/>
                      </w:rPr>
                      <m:t>i</m:t>
                    </m:r>
                    <m:ctrlPr>
                      <w:rPr>
                        <w:rFonts w:ascii="Cambria Math" w:hAnsi="Cambria Math"/>
                        <w:i/>
                        <w:color w:val="000000"/>
                        <w:sz w:val="24"/>
                        <w:szCs w:val="24"/>
                        <w:vertAlign w:val="baseline"/>
                        <w:lang w:val="en-US"/>
                      </w:rPr>
                    </m:ctrlPr>
                  </m:sub>
                </m:sSub>
              </m:oMath>
            </m:oMathPara>
          </w:p>
        </w:tc>
        <w:tc>
          <w:tcPr>
            <w:tcW w:w="4643" w:type="dxa"/>
            <w:tcBorders>
              <w:top w:val="nil"/>
              <w:left w:val="nil"/>
              <w:bottom w:val="nil"/>
              <w:right w:val="nil"/>
            </w:tcBorders>
            <w:shd w:val="clear" w:color="auto" w:fill="FFFFFF"/>
            <w:vAlign w:val="center"/>
          </w:tcPr>
          <w:p w14:paraId="3E83C1EA">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逻辑回归特征系数</w:t>
            </w:r>
          </w:p>
        </w:tc>
      </w:tr>
      <w:tr w14:paraId="0EA5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3C248333">
            <w:pPr>
              <w:keepNext w:val="0"/>
              <w:keepLines w:val="0"/>
              <w:widowControl/>
              <w:suppressLineNumbers w:val="0"/>
              <w:jc w:val="center"/>
              <w:textAlignment w:val="center"/>
              <w:rPr>
                <w:b w:val="0"/>
                <w:color w:val="000000"/>
                <w:sz w:val="24"/>
                <w:szCs w:val="24"/>
                <w:vertAlign w:val="baseline"/>
              </w:rPr>
            </w:pPr>
            <m:oMathPara>
              <m:oMath>
                <m:r>
                  <m:rPr/>
                  <w:rPr>
                    <w:rFonts w:ascii="Cambria Math" w:hAnsi="Cambria Math"/>
                    <w:color w:val="000000"/>
                    <w:sz w:val="24"/>
                    <w:szCs w:val="24"/>
                    <w:vertAlign w:val="baseline"/>
                  </w:rPr>
                  <m:t>λ</m:t>
                </m:r>
              </m:oMath>
            </m:oMathPara>
          </w:p>
        </w:tc>
        <w:tc>
          <w:tcPr>
            <w:tcW w:w="4643" w:type="dxa"/>
            <w:tcBorders>
              <w:top w:val="nil"/>
              <w:left w:val="nil"/>
              <w:bottom w:val="nil"/>
              <w:right w:val="nil"/>
            </w:tcBorders>
            <w:shd w:val="clear" w:color="auto" w:fill="FFFFFF"/>
            <w:vAlign w:val="center"/>
          </w:tcPr>
          <w:p w14:paraId="2218B59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正则化惩罚系数</w:t>
            </w:r>
          </w:p>
        </w:tc>
      </w:tr>
      <w:tr w14:paraId="2267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06CB066">
            <w:pPr>
              <w:keepNext w:val="0"/>
              <w:keepLines w:val="0"/>
              <w:widowControl/>
              <w:suppressLineNumbers w:val="0"/>
              <w:jc w:val="center"/>
              <w:textAlignment w:val="center"/>
              <w:rPr>
                <w:b w:val="0"/>
                <w:color w:val="000000"/>
                <w:sz w:val="24"/>
                <w:szCs w:val="24"/>
                <w:vertAlign w:val="baseline"/>
              </w:rPr>
            </w:pPr>
            <w:r>
              <w:rPr>
                <w:rFonts w:hint="eastAsia"/>
                <w:b w:val="0"/>
                <w:color w:val="000000"/>
                <w:sz w:val="24"/>
                <w:szCs w:val="24"/>
                <w:vertAlign w:val="baseline"/>
              </w:rPr>
              <w:t>P(Y=1|X)</w:t>
            </w:r>
          </w:p>
        </w:tc>
        <w:tc>
          <w:tcPr>
            <w:tcW w:w="4643" w:type="dxa"/>
            <w:tcBorders>
              <w:top w:val="nil"/>
              <w:left w:val="nil"/>
              <w:bottom w:val="nil"/>
              <w:right w:val="nil"/>
            </w:tcBorders>
            <w:shd w:val="clear" w:color="auto" w:fill="FFFFFF"/>
            <w:vAlign w:val="center"/>
          </w:tcPr>
          <w:p w14:paraId="2F409A1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高血脂症患病概率</w:t>
            </w:r>
          </w:p>
        </w:tc>
      </w:tr>
      <w:tr w14:paraId="05A1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ED8F0CB">
            <w:pPr>
              <w:keepNext w:val="0"/>
              <w:keepLines w:val="0"/>
              <w:widowControl/>
              <w:suppressLineNumbers w:val="0"/>
              <w:jc w:val="center"/>
              <w:textAlignment w:val="center"/>
              <w:rPr>
                <w:b w:val="0"/>
                <w:color w:val="000000"/>
                <w:sz w:val="24"/>
                <w:szCs w:val="24"/>
                <w:vertAlign w:val="baseline"/>
              </w:rPr>
            </w:pPr>
            <m:oMathPara>
              <m:oMath>
                <m:r>
                  <m:rPr/>
                  <w:rPr>
                    <w:rFonts w:hint="default" w:ascii="Cambria Math" w:hAnsi="Cambria Math" w:cs="Times New Roman"/>
                    <w:color w:val="000000"/>
                    <w:kern w:val="2"/>
                    <w:sz w:val="24"/>
                    <w:szCs w:val="24"/>
                    <w:vertAlign w:val="baseline"/>
                    <w:lang w:val="en-US" w:eastAsia="zh-CN" w:bidi="ar-SA"/>
                  </w:rPr>
                  <m:t>J</m:t>
                </m:r>
              </m:oMath>
            </m:oMathPara>
          </w:p>
        </w:tc>
        <w:tc>
          <w:tcPr>
            <w:tcW w:w="4643" w:type="dxa"/>
            <w:tcBorders>
              <w:top w:val="nil"/>
              <w:left w:val="nil"/>
              <w:bottom w:val="nil"/>
              <w:right w:val="nil"/>
            </w:tcBorders>
            <w:shd w:val="clear" w:color="auto" w:fill="FFFFFF"/>
            <w:vAlign w:val="center"/>
          </w:tcPr>
          <w:p w14:paraId="44985E44">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ROC 曲线 Youden 指数</w:t>
            </w:r>
          </w:p>
        </w:tc>
      </w:tr>
      <w:tr w14:paraId="19C2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2FD412B">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TPR</m:t>
                </m:r>
              </m:oMath>
            </m:oMathPara>
          </w:p>
        </w:tc>
        <w:tc>
          <w:tcPr>
            <w:tcW w:w="4643" w:type="dxa"/>
            <w:tcBorders>
              <w:top w:val="nil"/>
              <w:left w:val="nil"/>
              <w:bottom w:val="nil"/>
              <w:right w:val="nil"/>
            </w:tcBorders>
            <w:shd w:val="clear" w:color="auto" w:fill="FFFFFF"/>
            <w:vAlign w:val="center"/>
          </w:tcPr>
          <w:p w14:paraId="37CF8BD9">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真阳性率</w:t>
            </w:r>
          </w:p>
        </w:tc>
      </w:tr>
      <w:tr w14:paraId="6C16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115AD70">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FPR</m:t>
                </m:r>
              </m:oMath>
            </m:oMathPara>
          </w:p>
        </w:tc>
        <w:tc>
          <w:tcPr>
            <w:tcW w:w="4643" w:type="dxa"/>
            <w:tcBorders>
              <w:top w:val="nil"/>
              <w:left w:val="nil"/>
              <w:bottom w:val="nil"/>
              <w:right w:val="nil"/>
            </w:tcBorders>
            <w:shd w:val="clear" w:color="auto" w:fill="FFFFFF"/>
            <w:vAlign w:val="center"/>
          </w:tcPr>
          <w:p w14:paraId="3AA30C3B">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假阳性率</w:t>
            </w:r>
          </w:p>
        </w:tc>
      </w:tr>
      <w:tr w14:paraId="5911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66EB420">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Support(X)</m:t>
                </m:r>
              </m:oMath>
            </m:oMathPara>
          </w:p>
        </w:tc>
        <w:tc>
          <w:tcPr>
            <w:tcW w:w="4643" w:type="dxa"/>
            <w:tcBorders>
              <w:top w:val="nil"/>
              <w:left w:val="nil"/>
              <w:bottom w:val="nil"/>
              <w:right w:val="nil"/>
            </w:tcBorders>
            <w:shd w:val="clear" w:color="auto" w:fill="FFFFFF"/>
            <w:vAlign w:val="center"/>
          </w:tcPr>
          <w:p w14:paraId="74BF5C2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特征项集X支持度</w:t>
            </w:r>
          </w:p>
        </w:tc>
      </w:tr>
      <w:tr w14:paraId="7239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36D21751">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Confidence(X→Y)</m:t>
                </m:r>
              </m:oMath>
            </m:oMathPara>
          </w:p>
        </w:tc>
        <w:tc>
          <w:tcPr>
            <w:tcW w:w="4643" w:type="dxa"/>
            <w:tcBorders>
              <w:top w:val="nil"/>
              <w:left w:val="nil"/>
              <w:bottom w:val="nil"/>
              <w:right w:val="nil"/>
            </w:tcBorders>
            <w:shd w:val="clear" w:color="auto" w:fill="FFFFFF"/>
            <w:vAlign w:val="center"/>
          </w:tcPr>
          <w:p w14:paraId="28CEB88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关联规则置信度</w:t>
            </w:r>
          </w:p>
        </w:tc>
      </w:tr>
      <w:tr w14:paraId="573E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9A75F52">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Lift</m:t>
                </m:r>
              </m:oMath>
            </m:oMathPara>
          </w:p>
        </w:tc>
        <w:tc>
          <w:tcPr>
            <w:tcW w:w="4643" w:type="dxa"/>
            <w:tcBorders>
              <w:top w:val="nil"/>
              <w:left w:val="nil"/>
              <w:bottom w:val="nil"/>
              <w:right w:val="nil"/>
            </w:tcBorders>
            <w:shd w:val="clear" w:color="auto" w:fill="FFFFFF"/>
            <w:vAlign w:val="center"/>
          </w:tcPr>
          <w:p w14:paraId="0896A40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关联规则提升度</w:t>
            </w:r>
          </w:p>
        </w:tc>
      </w:tr>
      <w:tr w14:paraId="0315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33FAEAD">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S</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79BF48A2">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第m月月初痰湿积分</w:t>
            </w:r>
          </w:p>
        </w:tc>
      </w:tr>
      <w:tr w14:paraId="2579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EB6951A">
            <w:pPr>
              <w:keepNext w:val="0"/>
              <w:keepLines w:val="0"/>
              <w:widowControl/>
              <w:suppressLineNumbers w:val="0"/>
              <w:jc w:val="center"/>
              <w:textAlignment w:val="center"/>
              <w:rPr>
                <w:rFonts w:hint="default"/>
                <w:b w:val="0"/>
                <w:color w:val="000000"/>
                <w:sz w:val="24"/>
                <w:szCs w:val="24"/>
                <w:vertAlign w:val="baseline"/>
                <w:lang w:val="en-US"/>
              </w:rPr>
            </w:pPr>
            <m:oMathPara>
              <m:oMath>
                <m:sSub>
                  <m:sSubPr>
                    <m:ctrlPr>
                      <w:rPr>
                        <w:rFonts w:ascii="Cambria Math" w:hAnsi="Cambria Math"/>
                        <w:i/>
                        <w:color w:val="000000"/>
                        <w:sz w:val="24"/>
                        <w:szCs w:val="24"/>
                        <w:vertAlign w:val="baseline"/>
                        <w:lang w:val="en-US"/>
                      </w:rPr>
                    </m:ctrlPr>
                  </m:sSubPr>
                  <m:e>
                    <m:r>
                      <m:rPr/>
                      <w:rPr>
                        <w:rFonts w:hint="default" w:ascii="Cambria Math" w:hAnsi="Cambria Math"/>
                        <w:color w:val="000000"/>
                        <w:sz w:val="24"/>
                        <w:szCs w:val="24"/>
                        <w:vertAlign w:val="baseline"/>
                        <w:lang w:val="en-US" w:eastAsia="zh-CN"/>
                      </w:rPr>
                      <m:t>L</m:t>
                    </m:r>
                    <m:ctrlPr>
                      <w:rPr>
                        <w:rFonts w:ascii="Cambria Math" w:hAnsi="Cambria Math"/>
                        <w:i/>
                        <w:color w:val="000000"/>
                        <w:sz w:val="24"/>
                        <w:szCs w:val="24"/>
                        <w:vertAlign w:val="baseline"/>
                        <w:lang w:val="en-US"/>
                      </w:rPr>
                    </m:ctrlPr>
                  </m:e>
                  <m:sub>
                    <m:r>
                      <m:rPr/>
                      <w:rPr>
                        <w:rFonts w:hint="default" w:ascii="Cambria Math" w:hAnsi="Cambria Math"/>
                        <w:color w:val="000000"/>
                        <w:sz w:val="24"/>
                        <w:szCs w:val="24"/>
                        <w:vertAlign w:val="baseline"/>
                        <w:lang w:val="en-US" w:eastAsia="zh-CN"/>
                      </w:rPr>
                      <m:t>m</m:t>
                    </m:r>
                    <m:ctrlPr>
                      <w:rPr>
                        <w:rFonts w:ascii="Cambria Math" w:hAnsi="Cambria Math"/>
                        <w:i/>
                        <w:color w:val="000000"/>
                        <w:sz w:val="24"/>
                        <w:szCs w:val="24"/>
                        <w:vertAlign w:val="baseline"/>
                        <w:lang w:val="en-US"/>
                      </w:rPr>
                    </m:ctrlPr>
                  </m:sub>
                </m:sSub>
              </m:oMath>
            </m:oMathPara>
          </w:p>
        </w:tc>
        <w:tc>
          <w:tcPr>
            <w:tcW w:w="4643" w:type="dxa"/>
            <w:tcBorders>
              <w:top w:val="nil"/>
              <w:left w:val="nil"/>
              <w:bottom w:val="nil"/>
              <w:right w:val="nil"/>
            </w:tcBorders>
            <w:shd w:val="clear" w:color="auto" w:fill="FFFFFF"/>
            <w:vAlign w:val="center"/>
          </w:tcPr>
          <w:p w14:paraId="5120AEF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第m月中医调理分级</w:t>
            </w:r>
          </w:p>
        </w:tc>
      </w:tr>
      <w:tr w14:paraId="60F0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F61731C">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I</m:t>
                </m:r>
              </m:oMath>
            </m:oMathPara>
          </w:p>
        </w:tc>
        <w:tc>
          <w:tcPr>
            <w:tcW w:w="4643" w:type="dxa"/>
            <w:tcBorders>
              <w:top w:val="nil"/>
              <w:left w:val="nil"/>
              <w:bottom w:val="nil"/>
              <w:right w:val="nil"/>
            </w:tcBorders>
            <w:shd w:val="clear" w:color="auto" w:fill="FFFFFF"/>
            <w:vAlign w:val="center"/>
          </w:tcPr>
          <w:p w14:paraId="5046680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活动干预强度等级</w:t>
            </w:r>
          </w:p>
        </w:tc>
      </w:tr>
      <w:tr w14:paraId="382E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FE160DC">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f</m:t>
                </m:r>
              </m:oMath>
            </m:oMathPara>
          </w:p>
        </w:tc>
        <w:tc>
          <w:tcPr>
            <w:tcW w:w="4643" w:type="dxa"/>
            <w:tcBorders>
              <w:top w:val="nil"/>
              <w:left w:val="nil"/>
              <w:bottom w:val="nil"/>
              <w:right w:val="nil"/>
            </w:tcBorders>
            <w:shd w:val="clear" w:color="auto" w:fill="FFFFFF"/>
            <w:vAlign w:val="center"/>
          </w:tcPr>
          <w:p w14:paraId="00B1791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每周训练频率</w:t>
            </w:r>
          </w:p>
        </w:tc>
      </w:tr>
      <w:tr w14:paraId="091C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AE78787">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r</m:t>
                </m:r>
              </m:oMath>
            </m:oMathPara>
          </w:p>
        </w:tc>
        <w:tc>
          <w:tcPr>
            <w:tcW w:w="4643" w:type="dxa"/>
            <w:tcBorders>
              <w:top w:val="nil"/>
              <w:left w:val="nil"/>
              <w:bottom w:val="nil"/>
              <w:right w:val="nil"/>
            </w:tcBorders>
            <w:shd w:val="clear" w:color="auto" w:fill="FFFFFF"/>
            <w:vAlign w:val="center"/>
          </w:tcPr>
          <w:p w14:paraId="3189765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痰湿积分月度下降率</w:t>
            </w:r>
          </w:p>
        </w:tc>
      </w:tr>
      <w:tr w14:paraId="2200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C290D9A">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C</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total</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219F0BB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6 个月干预总成本</w:t>
            </w:r>
          </w:p>
        </w:tc>
      </w:tr>
      <w:tr w14:paraId="3CA9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CC8159F">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VIF</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j</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27AEF99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第j个特征方差膨胀因子</w:t>
            </w:r>
          </w:p>
        </w:tc>
      </w:tr>
      <w:tr w14:paraId="239C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0AF1C18E">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OR</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j</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7798995B">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第j种体质优势比</w:t>
            </w:r>
          </w:p>
        </w:tc>
      </w:tr>
      <w:tr w14:paraId="6288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2D0EE67">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AUC</m:t>
                </m:r>
              </m:oMath>
            </m:oMathPara>
          </w:p>
        </w:tc>
        <w:tc>
          <w:tcPr>
            <w:tcW w:w="4643" w:type="dxa"/>
            <w:tcBorders>
              <w:top w:val="nil"/>
              <w:left w:val="nil"/>
              <w:bottom w:val="nil"/>
              <w:right w:val="nil"/>
            </w:tcBorders>
            <w:shd w:val="clear" w:color="auto" w:fill="FFFFFF"/>
            <w:vAlign w:val="center"/>
          </w:tcPr>
          <w:p w14:paraId="14F5DDB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模型曲线下面积</w:t>
            </w:r>
          </w:p>
        </w:tc>
      </w:tr>
      <w:tr w14:paraId="53A9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8DD5E26">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ADL</m:t>
                </m:r>
              </m:oMath>
            </m:oMathPara>
          </w:p>
        </w:tc>
        <w:tc>
          <w:tcPr>
            <w:tcW w:w="4643" w:type="dxa"/>
            <w:tcBorders>
              <w:top w:val="nil"/>
              <w:left w:val="nil"/>
              <w:bottom w:val="nil"/>
              <w:right w:val="nil"/>
            </w:tcBorders>
            <w:shd w:val="clear" w:color="auto" w:fill="FFFFFF"/>
            <w:vAlign w:val="center"/>
          </w:tcPr>
          <w:p w14:paraId="7411AE6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日常生活活动能力量表</w:t>
            </w:r>
          </w:p>
        </w:tc>
      </w:tr>
      <w:tr w14:paraId="53D3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28D57B2D">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IADL</m:t>
                </m:r>
              </m:oMath>
            </m:oMathPara>
          </w:p>
        </w:tc>
        <w:tc>
          <w:tcPr>
            <w:tcW w:w="4643" w:type="dxa"/>
            <w:tcBorders>
              <w:top w:val="nil"/>
              <w:left w:val="nil"/>
              <w:bottom w:val="single" w:color="000000" w:sz="12" w:space="0"/>
              <w:right w:val="nil"/>
            </w:tcBorders>
            <w:shd w:val="clear" w:color="auto" w:fill="FFFFFF"/>
            <w:vAlign w:val="center"/>
          </w:tcPr>
          <w:p w14:paraId="3A2E162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工具性日常生活活动能力量表</w:t>
            </w:r>
          </w:p>
        </w:tc>
      </w:tr>
    </w:tbl>
    <w:p w14:paraId="361FA224">
      <w:pPr>
        <w:numPr>
          <w:ilvl w:val="0"/>
          <w:numId w:val="0"/>
        </w:numPr>
        <w:ind w:left="0" w:leftChars="0" w:firstLine="0" w:firstLineChars="0"/>
        <w:jc w:val="center"/>
        <w:rPr>
          <w:rFonts w:hint="eastAsia" w:cs="Times New Roman"/>
          <w:b/>
          <w:bCs/>
          <w:kern w:val="2"/>
          <w:sz w:val="24"/>
          <w:szCs w:val="24"/>
          <w:lang w:val="en-US" w:eastAsia="zh-CN" w:bidi="ar-SA"/>
        </w:rPr>
      </w:pPr>
    </w:p>
    <w:p w14:paraId="5A0E2A1C">
      <w:pPr>
        <w:numPr>
          <w:ilvl w:val="0"/>
          <w:numId w:val="0"/>
        </w:numPr>
        <w:ind w:left="0" w:leftChars="0" w:firstLine="0" w:firstLineChars="0"/>
        <w:jc w:val="center"/>
        <w:outlineLvl w:val="0"/>
        <w:rPr>
          <w:rFonts w:hint="eastAsia" w:ascii="Times New Roman" w:hAnsi="Times New Roman" w:eastAsia="宋体" w:cs="Times New Roman"/>
          <w:sz w:val="22"/>
          <w:szCs w:val="22"/>
        </w:rPr>
      </w:pPr>
      <w:bookmarkStart w:id="10" w:name="_Toc19289"/>
      <w:r>
        <w:rPr>
          <w:rFonts w:hint="eastAsia" w:cs="Times New Roman"/>
          <w:b/>
          <w:bCs/>
          <w:kern w:val="2"/>
          <w:sz w:val="24"/>
          <w:szCs w:val="24"/>
          <w:lang w:val="en-US" w:eastAsia="zh-CN" w:bidi="ar-SA"/>
        </w:rPr>
        <w:t>五</w:t>
      </w:r>
      <w:r>
        <w:rPr>
          <w:rFonts w:hint="eastAsia"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sz w:val="24"/>
          <w:szCs w:val="24"/>
          <w:lang w:val="en-US" w:eastAsia="zh-CN"/>
        </w:rPr>
        <w:t>问题一模型的建立和求解</w:t>
      </w:r>
      <w:bookmarkEnd w:id="10"/>
    </w:p>
    <w:p w14:paraId="2926BC9D">
      <w:pPr>
        <w:outlineLvl w:val="1"/>
        <w:rPr>
          <w:rFonts w:hint="eastAsia" w:ascii="Times New Roman" w:hAnsi="Times New Roman" w:eastAsia="宋体" w:cs="Times New Roman"/>
          <w:sz w:val="22"/>
          <w:szCs w:val="22"/>
        </w:rPr>
      </w:pPr>
      <w:bookmarkStart w:id="11" w:name="_Toc29581"/>
      <w:bookmarkStart w:id="12" w:name="_Toc5807"/>
      <w:r>
        <w:rPr>
          <w:rFonts w:hint="eastAsia" w:ascii="Times New Roman" w:hAnsi="Times New Roman" w:eastAsia="宋体" w:cs="Times New Roman"/>
          <w:sz w:val="22"/>
          <w:szCs w:val="22"/>
        </w:rPr>
        <w:t>5.1 数据预处理与标准化</w:t>
      </w:r>
      <w:bookmarkEnd w:id="11"/>
      <w:bookmarkEnd w:id="12"/>
    </w:p>
    <w:p w14:paraId="0922E75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在正式构建模型之前，为消除量纲差异、统一指标方向、保证模型训练稳定收敛，本文对原始数据进行完整的数据清洗、检验与标准化流程，处理方式与高水平学术论文保持一致，确保数据质量满足建模要求。</w:t>
      </w:r>
    </w:p>
    <w:p w14:paraId="1B112FC0">
      <w:pPr>
        <w:outlineLvl w:val="2"/>
        <w:rPr>
          <w:rFonts w:hint="eastAsia" w:ascii="Times New Roman" w:hAnsi="Times New Roman" w:eastAsia="宋体" w:cs="Times New Roman"/>
          <w:sz w:val="22"/>
          <w:szCs w:val="22"/>
        </w:rPr>
      </w:pPr>
      <w:bookmarkStart w:id="13" w:name="_Toc26927"/>
      <w:bookmarkStart w:id="14" w:name="_Toc25324"/>
      <w:r>
        <w:rPr>
          <w:rFonts w:hint="eastAsia" w:ascii="Times New Roman" w:hAnsi="Times New Roman" w:eastAsia="宋体" w:cs="Times New Roman"/>
          <w:sz w:val="22"/>
          <w:szCs w:val="22"/>
        </w:rPr>
        <w:t>5.1.1 数据质量检验与可靠性分析</w:t>
      </w:r>
      <w:bookmarkEnd w:id="13"/>
      <w:bookmarkEnd w:id="14"/>
    </w:p>
    <w:p w14:paraId="22B7B9F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本文基于Python对附件中1000例样本进行全维度数据质量诊断，包括缺失值检测、异常值检测、重复值检测、变量分布检验四项内容。检验结果显示：所有变量均不存在缺失值，数据完整性为100%；所有连续指标均未出现偏离</w:t>
      </w:r>
      <m:oMath>
        <m:r>
          <m:rPr>
            <m:sty m:val="p"/>
          </m:rPr>
          <w:rPr>
            <w:rFonts w:hint="eastAsia" w:ascii="Cambria Math" w:hAnsi="Cambria Math" w:eastAsia="宋体" w:cs="Times New Roman"/>
            <w:kern w:val="2"/>
            <w:sz w:val="22"/>
            <w:szCs w:val="22"/>
            <w:lang w:val="en-US" w:bidi="ar-SA"/>
          </w:rPr>
          <m:t>3</m:t>
        </m:r>
        <m:r>
          <m:rPr>
            <m:sty m:val="p"/>
          </m:rPr>
          <w:rPr>
            <w:rFonts w:hint="default" w:ascii="Cambria Math" w:hAnsi="Cambria Math" w:eastAsia="宋体" w:cs="Cambria Math"/>
            <w:kern w:val="2"/>
            <w:sz w:val="22"/>
            <w:szCs w:val="22"/>
            <w:lang w:val="en-US" w:bidi="ar-SA"/>
          </w:rPr>
          <m:t>σ</m:t>
        </m:r>
      </m:oMath>
      <w:r>
        <w:rPr>
          <w:rFonts w:hint="eastAsia" w:ascii="Times New Roman" w:hAnsi="Times New Roman" w:eastAsia="宋体" w:cs="Times New Roman"/>
          <w:sz w:val="22"/>
          <w:szCs w:val="22"/>
        </w:rPr>
        <w:t>范围的异常点，分布平稳；无重复样本与逻辑矛盾样本；分类变量的类别分布均衡，不会造成模型偏倚。</w:t>
      </w:r>
    </w:p>
    <w:p w14:paraId="447AC01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由此说明，本次研究使用的数据质量高、可靠性强，无需进行插值填充、异常修正、样本删减等操作，可直接进入预处理与建模环节，为后续精准建模奠定了数据基础。</w:t>
      </w:r>
    </w:p>
    <w:p w14:paraId="3428AABE">
      <w:pPr>
        <w:outlineLvl w:val="2"/>
        <w:rPr>
          <w:rFonts w:hint="eastAsia" w:ascii="Times New Roman" w:hAnsi="Times New Roman" w:eastAsia="宋体" w:cs="Times New Roman"/>
          <w:sz w:val="22"/>
          <w:szCs w:val="22"/>
        </w:rPr>
      </w:pPr>
      <w:bookmarkStart w:id="15" w:name="_Toc1131"/>
      <w:bookmarkStart w:id="16" w:name="_Toc5422"/>
      <w:r>
        <w:rPr>
          <w:rFonts w:hint="eastAsia" w:ascii="Times New Roman" w:hAnsi="Times New Roman" w:eastAsia="宋体" w:cs="Times New Roman"/>
          <w:sz w:val="22"/>
          <w:szCs w:val="22"/>
        </w:rPr>
        <w:t>5.1.2 极值化（Min-Max）归一化与正向化处理</w:t>
      </w:r>
      <w:bookmarkEnd w:id="15"/>
      <w:bookmarkEnd w:id="16"/>
    </w:p>
    <w:p w14:paraId="172B1A2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考虑到各项生化指标具有不同的量纲，且分为极大型与极小型指标，本文采用极值化方法（Min-Max）对数据进行正向化和无量纲化处理。</w:t>
      </w:r>
    </w:p>
    <w:p w14:paraId="4C7975A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在医疗健康数据中，指标通常具有明确的健康指向性，可分为两类：极大型（正向）指标，数值越高，健康状况越好，如高密度脂蛋白HDL-C；极小型（负向）指标，数值越高，健康风险越高，如甘油三酯TG、低密度脂蛋白LDL-C、空腹血糖等。</w:t>
      </w:r>
    </w:p>
    <w:p w14:paraId="78A0FD5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为统一评价方向，使所有指标满足“数值越大→越健康”或“数值越大→风险越高”的可解释性，本文分别采用如下变换：</w:t>
      </w:r>
    </w:p>
    <w:p w14:paraId="058DECDF">
      <w:pPr>
        <w:ind w:firstLine="440" w:firstLineChars="200"/>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（1）对极大型（正向）指标，采用常规最小最大归一化：</w:t>
      </w:r>
    </w:p>
    <w:p w14:paraId="53EB2EB2">
      <w:pPr>
        <w:ind w:firstLine="440" w:firstLineChars="200"/>
        <w:rPr>
          <w:rFonts w:hint="eastAsia" w:ascii="Times New Roman" w:hAnsi="Times New Roman" w:eastAsia="宋体" w:cs="Times New Roman"/>
          <w:sz w:val="22"/>
          <w:szCs w:val="22"/>
        </w:rPr>
      </w:pPr>
      <m:oMathPara>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f>
            <m:fPr>
              <m:ctrlPr>
                <w:rPr>
                  <w:rFonts w:hint="eastAsia" w:ascii="Cambria Math" w:hAnsi="Cambria Math" w:eastAsia="宋体" w:cs="Times New Roman"/>
                  <w:sz w:val="22"/>
                  <w:szCs w:val="22"/>
                </w:rPr>
              </m:ctrlPr>
            </m:fPr>
            <m:num>
              <m:r>
                <m:rPr>
                  <m:sty m:val="p"/>
                </m:rPr>
                <w:rPr>
                  <w:rFonts w:hint="eastAsia" w:ascii="Times New Roman" w:hAnsi="Times New Roman" w:eastAsia="宋体" w:cs="Times New Roman"/>
                  <w:sz w:val="22"/>
                  <w:szCs w:val="22"/>
                </w:rPr>
                <m:t>X−</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num>
            <m:den>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den>
          </m:f>
        </m:oMath>
      </m:oMathPara>
    </w:p>
    <w:p w14:paraId="480BC28B">
      <w:pPr>
        <w:ind w:firstLine="440" w:firstLineChars="200"/>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（2）对极小型（负向）指标，采用反向最小最大归一化：</w:t>
      </w:r>
    </w:p>
    <w:p w14:paraId="35B6A8AF">
      <w:pPr>
        <w:ind w:firstLine="440" w:firstLineChars="200"/>
        <w:rPr>
          <w:rFonts w:hint="eastAsia" w:ascii="Times New Roman" w:hAnsi="Times New Roman" w:eastAsia="宋体" w:cs="Times New Roman"/>
          <w:sz w:val="22"/>
          <w:szCs w:val="22"/>
        </w:rPr>
      </w:pPr>
      <m:oMathPara>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f>
            <m:fPr>
              <m:ctrlPr>
                <w:rPr>
                  <w:rFonts w:hint="eastAsia" w:ascii="Cambria Math" w:hAnsi="Cambria Math" w:eastAsia="宋体" w:cs="Times New Roman"/>
                  <w:sz w:val="22"/>
                  <w:szCs w:val="22"/>
                </w:rPr>
              </m:ctrlPr>
            </m:fPr>
            <m:num>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num>
            <m:den>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den>
          </m:f>
        </m:oMath>
      </m:oMathPara>
    </w:p>
    <w:p w14:paraId="476D93D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式中：</w:t>
      </w:r>
      <m:oMath>
        <m:r>
          <m:rPr>
            <m:sty m:val="p"/>
          </m:rPr>
          <w:rPr>
            <w:rFonts w:hint="eastAsia" w:ascii="Times New Roman" w:hAnsi="Times New Roman" w:eastAsia="宋体" w:cs="Times New Roman"/>
            <w:sz w:val="22"/>
            <w:szCs w:val="22"/>
          </w:rPr>
          <m:t>X</m:t>
        </m:r>
      </m:oMath>
      <w:r>
        <w:rPr>
          <w:rFonts w:hint="eastAsia" w:ascii="Times New Roman" w:hAnsi="Times New Roman" w:eastAsia="宋体" w:cs="Times New Roman"/>
          <w:sz w:val="22"/>
          <w:szCs w:val="22"/>
        </w:rPr>
        <w:t>为原始观测值，</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分别为该指标的全局最小值与最大值，</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为处理后落在 [0,1] 区间内的标准化值。</w:t>
      </w:r>
    </w:p>
    <w:p w14:paraId="2E49EF9D">
      <w:pPr>
        <w:outlineLvl w:val="2"/>
        <w:rPr>
          <w:rFonts w:hint="eastAsia" w:ascii="Times New Roman" w:hAnsi="Times New Roman" w:eastAsia="宋体" w:cs="Times New Roman"/>
          <w:sz w:val="22"/>
          <w:szCs w:val="22"/>
        </w:rPr>
      </w:pPr>
      <w:bookmarkStart w:id="17" w:name="_Toc14014"/>
      <w:bookmarkStart w:id="18" w:name="_Toc5224"/>
      <w:r>
        <w:rPr>
          <w:rFonts w:hint="eastAsia" w:ascii="Times New Roman" w:hAnsi="Times New Roman" w:eastAsia="宋体" w:cs="Times New Roman"/>
          <w:sz w:val="22"/>
          <w:szCs w:val="22"/>
        </w:rPr>
        <w:t>5.1.3 变量处理规则</w:t>
      </w:r>
      <w:bookmarkEnd w:id="17"/>
      <w:bookmarkEnd w:id="18"/>
    </w:p>
    <w:p w14:paraId="657A35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为保持数据结构一致性，本文对不同类型变量采用差异化处理策略：</w:t>
      </w:r>
    </w:p>
    <w:p w14:paraId="1C6FA6B0">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 连续型变量</w:t>
      </w:r>
    </w:p>
    <w:p w14:paraId="025A68E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包括血脂四项（TC、TG、LDL-C、HDL-C）、空腹血糖、血尿酸、BMI、痰湿体质积分、ADL评分、IADL评分、活动总量表分，全部执行Min-Max归一化与正向化。</w:t>
      </w:r>
    </w:p>
    <w:p w14:paraId="3C4DA82B">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2. 分类型变量</w:t>
      </w:r>
    </w:p>
    <w:p w14:paraId="0A395DF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包括性别、吸烟史、饮酒史、年龄组、中医体质标签，保持原有离散编码不变，不参与归一化。</w:t>
      </w:r>
    </w:p>
    <w:p w14:paraId="11011B38">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3. 标签变量</w:t>
      </w:r>
    </w:p>
    <w:p w14:paraId="727DE94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包括高血脂症二分类标签、血脂异常分型标签，作为模型预测目标 \(Y\)，不参与任何预处理。</w:t>
      </w:r>
    </w:p>
    <w:p w14:paraId="35D97839">
      <w:pPr>
        <w:outlineLvl w:val="2"/>
        <w:rPr>
          <w:rFonts w:hint="eastAsia" w:ascii="Times New Roman" w:hAnsi="Times New Roman" w:eastAsia="宋体" w:cs="Times New Roman"/>
          <w:sz w:val="22"/>
          <w:szCs w:val="22"/>
        </w:rPr>
      </w:pPr>
      <w:bookmarkStart w:id="19" w:name="_Toc27235"/>
      <w:bookmarkStart w:id="20" w:name="_Toc996"/>
      <w:r>
        <w:rPr>
          <w:rFonts w:hint="eastAsia" w:ascii="Times New Roman" w:hAnsi="Times New Roman" w:eastAsia="宋体" w:cs="Times New Roman"/>
          <w:sz w:val="22"/>
          <w:szCs w:val="22"/>
        </w:rPr>
        <w:t>5.1.4 选择Min-Max归一化的合理性分析</w:t>
      </w:r>
      <w:bookmarkEnd w:id="19"/>
      <w:bookmarkEnd w:id="20"/>
    </w:p>
    <w:p w14:paraId="72E6044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本文选择Min-Max方法而非标准化（Z-Score）的主要依据如下：数据无异常值，完全避开Min-Max对异常点敏感的固有缺陷；能够严格保留原始数据的线性分布结构，适用于LASSO等线性模型；输出严格限制在[0,1]区间，无负数输出，满足绝大多数机器学习输入要求；可同步完成正向化，使医疗指标具备统一的健康解释方向；对于后续可能使用的距离类算法、聚类算法、相似度计算，Min-Max是最优选择。</w:t>
      </w:r>
    </w:p>
    <w:p w14:paraId="4ED6B70D">
      <w:pPr>
        <w:ind w:firstLine="440" w:firstLineChars="200"/>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drawing>
          <wp:inline distT="0" distB="0" distL="0" distR="0">
            <wp:extent cx="5274310" cy="2993390"/>
            <wp:effectExtent l="0" t="0" r="13970" b="8890"/>
            <wp:docPr id="530543556" name="图片 1" descr="D:/mathorcup/github/temp/output/q1_1/combined_results.pngcombined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3556" name="图片 1" descr="D:/mathorcup/github/temp/output/q1_1/combined_results.pngcombined_results"/>
                    <pic:cNvPicPr>
                      <a:picLocks noChangeAspect="1"/>
                    </pic:cNvPicPr>
                  </pic:nvPicPr>
                  <pic:blipFill>
                    <a:blip r:embed="rId7"/>
                    <a:srcRect t="72" b="72"/>
                    <a:stretch>
                      <a:fillRect/>
                    </a:stretch>
                  </pic:blipFill>
                  <pic:spPr>
                    <a:xfrm>
                      <a:off x="0" y="0"/>
                      <a:ext cx="5274310" cy="2993390"/>
                    </a:xfrm>
                    <a:prstGeom prst="rect">
                      <a:avLst/>
                    </a:prstGeom>
                  </pic:spPr>
                </pic:pic>
              </a:graphicData>
            </a:graphic>
          </wp:inline>
        </w:drawing>
      </w:r>
    </w:p>
    <w:p w14:paraId="73F904B2">
      <w:pPr>
        <w:ind w:firstLine="400" w:firstLineChars="200"/>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0"/>
          <w:szCs w:val="20"/>
          <w:lang w:val="en-US" w:eastAsia="zh-CN"/>
        </w:rPr>
        <w:t>图</w:t>
      </w:r>
      <w:r>
        <w:rPr>
          <w:rFonts w:hint="eastAsia" w:cs="Times New Roman"/>
          <w:sz w:val="20"/>
          <w:szCs w:val="20"/>
          <w:lang w:val="en-US" w:eastAsia="zh-CN"/>
        </w:rPr>
        <w:t>1</w:t>
      </w:r>
      <w:r>
        <w:rPr>
          <w:rFonts w:hint="eastAsia" w:ascii="Times New Roman" w:hAnsi="Times New Roman" w:eastAsia="宋体" w:cs="Times New Roman"/>
          <w:sz w:val="20"/>
          <w:szCs w:val="20"/>
          <w:lang w:val="en-US" w:eastAsia="zh-CN"/>
        </w:rPr>
        <w:t xml:space="preserve"> 关键指标的 LASSO 与随机森林归一化重要性对比</w:t>
      </w:r>
    </w:p>
    <w:p w14:paraId="658DCC0C">
      <w:pPr>
        <w:outlineLvl w:val="1"/>
        <w:rPr>
          <w:rFonts w:hint="default" w:ascii="Times New Roman" w:hAnsi="Times New Roman" w:eastAsia="宋体" w:cs="Times New Roman"/>
          <w:sz w:val="22"/>
          <w:szCs w:val="22"/>
          <w:lang w:val="en-US" w:eastAsia="zh-CN"/>
        </w:rPr>
      </w:pPr>
      <w:bookmarkStart w:id="21" w:name="_Toc8292"/>
      <w:bookmarkStart w:id="22" w:name="_Toc11146"/>
      <w:r>
        <w:rPr>
          <w:rFonts w:hint="eastAsia" w:ascii="Times New Roman" w:hAnsi="Times New Roman" w:eastAsia="宋体" w:cs="Times New Roman"/>
          <w:sz w:val="22"/>
          <w:szCs w:val="22"/>
          <w:lang w:val="en-US" w:eastAsia="zh-CN"/>
        </w:rPr>
        <w:t xml:space="preserve">5.2 </w:t>
      </w:r>
      <w:r>
        <w:rPr>
          <w:rFonts w:hint="eastAsia" w:cs="Times New Roman"/>
          <w:sz w:val="22"/>
          <w:szCs w:val="22"/>
          <w:lang w:val="en-US" w:eastAsia="zh-CN"/>
        </w:rPr>
        <w:t>问题一第一小问的模型建立</w:t>
      </w:r>
      <w:bookmarkEnd w:id="21"/>
      <w:bookmarkEnd w:id="22"/>
    </w:p>
    <w:p w14:paraId="67A254FA">
      <w:pPr>
        <w:ind w:firstLine="440" w:firstLineChars="200"/>
        <w:outlineLvl w:val="2"/>
        <w:rPr>
          <w:rFonts w:hint="eastAsia" w:ascii="Times New Roman" w:hAnsi="Times New Roman" w:eastAsia="宋体" w:cs="Times New Roman"/>
          <w:sz w:val="22"/>
          <w:szCs w:val="22"/>
        </w:rPr>
      </w:pPr>
      <w:bookmarkStart w:id="23" w:name="_Toc24579"/>
      <w:bookmarkStart w:id="24" w:name="_Toc12988"/>
      <w:r>
        <w:rPr>
          <w:rFonts w:hint="eastAsia" w:cs="Times New Roman"/>
          <w:sz w:val="22"/>
          <w:szCs w:val="22"/>
          <w:lang w:val="en-US" w:eastAsia="zh-CN"/>
        </w:rPr>
        <w:t xml:space="preserve">5.2.1 </w:t>
      </w:r>
      <w:r>
        <w:rPr>
          <w:rFonts w:hint="eastAsia" w:ascii="Times New Roman" w:hAnsi="Times New Roman" w:eastAsia="宋体" w:cs="Times New Roman"/>
          <w:sz w:val="22"/>
          <w:szCs w:val="22"/>
        </w:rPr>
        <w:t>痰湿体质严重程度：LASSO回归模型</w:t>
      </w:r>
      <w:bookmarkEnd w:id="23"/>
      <w:bookmarkEnd w:id="24"/>
    </w:p>
    <w:p w14:paraId="7DD4FE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痰湿体质积分为连续型变量，属于回归任务。采用 LASSO 回归，通过 L1 正则化实现特征稀疏选择，解决医学指标多重共线性问题。</w:t>
      </w:r>
    </w:p>
    <w:p w14:paraId="4A89EA2C">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损失函数：</w:t>
      </w:r>
    </w:p>
    <w:p w14:paraId="15A26D6D">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Loss=</m:t>
          </m:r>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i=1</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sup>
            <m:e>
              <m:r>
                <m:rPr>
                  <m:sty m:val="p"/>
                </m:rPr>
                <w:rPr>
                  <w:rFonts w:hint="default" w:ascii="Times New Roman" w:hAnsi="Times New Roman" w:eastAsia="宋体" w:cs="Times New Roman"/>
                  <w:sz w:val="22"/>
                  <w:szCs w:val="22"/>
                </w:rPr>
                <m:t>(</m:t>
              </m:r>
              <m:ctrlPr>
                <w:rPr>
                  <w:rFonts w:hint="eastAsia" w:ascii="Cambria Math" w:hAnsi="Cambria Math" w:eastAsia="宋体" w:cs="Times New Roman"/>
                  <w:sz w:val="22"/>
                  <w:szCs w:val="22"/>
                </w:rPr>
              </m:ctrlPr>
            </m:e>
          </m:nary>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y</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i</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acc>
                <m:accPr>
                  <m:ctrlPr>
                    <w:rPr>
                      <w:rFonts w:hint="default" w:ascii="Cambria Math" w:hAnsi="Cambria Math" w:eastAsia="宋体" w:cs="Times New Roman"/>
                      <w:sz w:val="22"/>
                      <w:szCs w:val="22"/>
                    </w:rPr>
                  </m:ctrlPr>
                </m:accPr>
                <m:e>
                  <m:r>
                    <m:rPr>
                      <m:sty m:val="p"/>
                    </m:rPr>
                    <w:rPr>
                      <w:rFonts w:hint="default" w:ascii="Times New Roman" w:hAnsi="Times New Roman" w:eastAsia="宋体" w:cs="Times New Roman"/>
                      <w:sz w:val="22"/>
                      <w:szCs w:val="22"/>
                    </w:rPr>
                    <m:t>y</m:t>
                  </m:r>
                  <m:ctrlPr>
                    <w:rPr>
                      <w:rFonts w:hint="eastAsia" w:ascii="Cambria Math" w:hAnsi="Cambria Math" w:eastAsia="宋体" w:cs="Times New Roman"/>
                      <w:sz w:val="22"/>
                      <w:szCs w:val="22"/>
                    </w:rPr>
                  </m:ctrlPr>
                </m:e>
              </m:acc>
              <m:ctrlPr>
                <w:rPr>
                  <w:rFonts w:hint="default" w:ascii="Cambria Math" w:hAnsi="Cambria Math" w:eastAsia="宋体" w:cs="Times New Roman"/>
                  <w:sz w:val="22"/>
                  <w:szCs w:val="22"/>
                </w:rPr>
              </m:ctrlPr>
            </m:e>
            <m:sub>
              <m:r>
                <m:rPr>
                  <m:sty m:val="p"/>
                </m:rPr>
                <w:rPr>
                  <w:rFonts w:hint="default" w:ascii="Times New Roman" w:hAnsi="Times New Roman" w:eastAsia="宋体" w:cs="Times New Roman"/>
                  <w:sz w:val="22"/>
                  <w:szCs w:val="22"/>
                </w:rPr>
                <m:t>i</m:t>
              </m:r>
              <m:ctrlPr>
                <w:rPr>
                  <w:rFonts w:hint="default" w:ascii="Cambria Math" w:hAnsi="Cambria Math" w:eastAsia="宋体" w:cs="Times New Roman"/>
                  <w:sz w:val="22"/>
                  <w:szCs w:val="22"/>
                </w:rPr>
              </m:ctrlPr>
            </m:sub>
          </m:sSub>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e>
            <m:sup>
              <m:r>
                <m:rPr>
                  <m:sty m:val="p"/>
                </m:rPr>
                <w:rPr>
                  <w:rFonts w:hint="default" w:ascii="Times New Roman" w:hAnsi="Times New Roman" w:eastAsia="宋体" w:cs="Times New Roman"/>
                  <w:sz w:val="22"/>
                  <w:szCs w:val="22"/>
                </w:rPr>
                <m:t>2</m:t>
              </m:r>
              <m:ctrlPr>
                <w:rPr>
                  <w:rFonts w:hint="default" w:ascii="Cambria Math" w:hAnsi="Cambria Math" w:eastAsia="宋体" w:cs="Times New Roman"/>
                  <w:sz w:val="22"/>
                  <w:szCs w:val="22"/>
                </w:rPr>
              </m:ctrlPr>
            </m:sup>
          </m:sSup>
          <m:r>
            <m:rPr>
              <m:sty m:val="p"/>
            </m:rPr>
            <w:rPr>
              <w:rFonts w:hint="default" w:ascii="Times New Roman" w:hAnsi="Times New Roman" w:eastAsia="宋体" w:cs="Times New Roman"/>
              <w:sz w:val="22"/>
              <w:szCs w:val="22"/>
            </w:rPr>
            <m:t>+λ</m:t>
          </m:r>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j=1</m:t>
              </m:r>
              <m:ctrlPr>
                <w:rPr>
                  <w:rFonts w:hint="default"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p</m:t>
              </m:r>
              <m:ctrlPr>
                <w:rPr>
                  <w:rFonts w:hint="default" w:ascii="Cambria Math" w:hAnsi="Cambria Math" w:eastAsia="宋体" w:cs="Times New Roman"/>
                  <w:sz w:val="22"/>
                  <w:szCs w:val="22"/>
                </w:rPr>
              </m:ctrlPr>
            </m:sup>
            <m:e>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e>
          </m:nary>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default"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default"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oMath>
      </m:oMathPara>
    </w:p>
    <w:p w14:paraId="6ECC30D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前半部分为残差平方和，保证拟合精度；后半部分为L1正则项，强制不重要特征系数压缩至 0；最优特征为系数非 0的指标。</w:t>
      </w:r>
    </w:p>
    <w:p w14:paraId="71C28B64">
      <w:pPr>
        <w:ind w:firstLine="440" w:firstLineChars="200"/>
        <w:outlineLvl w:val="2"/>
        <w:rPr>
          <w:rFonts w:hint="eastAsia" w:ascii="Times New Roman" w:hAnsi="Times New Roman" w:eastAsia="宋体" w:cs="Times New Roman"/>
          <w:sz w:val="22"/>
          <w:szCs w:val="22"/>
        </w:rPr>
      </w:pPr>
      <w:bookmarkStart w:id="25" w:name="_Toc30264"/>
      <w:bookmarkStart w:id="26" w:name="_Toc2586"/>
      <w:r>
        <w:rPr>
          <w:rFonts w:hint="eastAsia" w:cs="Times New Roman"/>
          <w:sz w:val="22"/>
          <w:szCs w:val="22"/>
          <w:lang w:val="en-US" w:eastAsia="zh-CN"/>
        </w:rPr>
        <w:t xml:space="preserve">5.2.2 </w:t>
      </w:r>
      <w:r>
        <w:rPr>
          <w:rFonts w:hint="eastAsia" w:ascii="Times New Roman" w:hAnsi="Times New Roman" w:eastAsia="宋体" w:cs="Times New Roman"/>
          <w:sz w:val="22"/>
          <w:szCs w:val="22"/>
        </w:rPr>
        <w:t>高血脂发病风险：随机森林分类模型</w:t>
      </w:r>
      <w:bookmarkEnd w:id="25"/>
      <w:bookmarkEnd w:id="26"/>
    </w:p>
    <w:p w14:paraId="05A13AD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高血脂为二分类变量，属于分类任务。采用随机森林模型，以 </w:t>
      </w: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rPr>
        <w:t>基尼不纯度下降量（MDI）</w:t>
      </w: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rPr>
        <w:t>计算特征重要性。</w:t>
      </w:r>
    </w:p>
    <w:p w14:paraId="3BCC71E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特征重要性公式：</w:t>
      </w:r>
    </w:p>
    <w:p w14:paraId="19ABF97D">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Importance(j)=</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trees</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den>
          </m:f>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t=1</m:t>
              </m:r>
              <m:ctrlPr>
                <w:rPr>
                  <w:rFonts w:hint="default" w:ascii="Cambria Math" w:hAnsi="Cambria Math" w:eastAsia="宋体" w:cs="Times New Roman"/>
                  <w:sz w:val="22"/>
                  <w:szCs w:val="22"/>
                </w:rPr>
              </m:ctrlPr>
            </m:sub>
            <m:sup>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trees</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sup>
            <m:e>
              <m:nary>
                <m:naryPr>
                  <m:chr m:val="∑"/>
                  <m:limLoc m:val="subSup"/>
                  <m:supHide m:val="1"/>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n∈Nodes(j)</m:t>
                  </m:r>
                  <m:ctrlPr>
                    <w:rPr>
                      <w:rFonts w:hint="eastAsia" w:ascii="Cambria Math" w:hAnsi="Cambria Math" w:eastAsia="宋体" w:cs="Times New Roman"/>
                      <w:sz w:val="22"/>
                      <w:szCs w:val="22"/>
                    </w:rPr>
                  </m:ctrlPr>
                </m:sub>
                <m:sup>
                  <m:ctrlPr>
                    <w:rPr>
                      <w:rFonts w:hint="eastAsia" w:ascii="Cambria Math" w:hAnsi="Cambria Math" w:eastAsia="宋体" w:cs="Times New Roman"/>
                      <w:sz w:val="22"/>
                      <w:szCs w:val="22"/>
                    </w:rPr>
                  </m:ctrlPr>
                </m:sup>
                <m:e>
                  <m:r>
                    <m:rPr>
                      <m:sty m:val="p"/>
                    </m:rPr>
                    <w:rPr>
                      <w:rFonts w:hint="default" w:ascii="Times New Roman" w:hAnsi="Times New Roman" w:eastAsia="宋体" w:cs="Times New Roman"/>
                      <w:sz w:val="22"/>
                      <w:szCs w:val="22"/>
                    </w:rPr>
                    <m:t>ΔGini(n)</m:t>
                  </m:r>
                  <m:ctrlPr>
                    <w:rPr>
                      <w:rFonts w:hint="eastAsia" w:ascii="Cambria Math" w:hAnsi="Cambria Math" w:eastAsia="宋体" w:cs="Times New Roman"/>
                      <w:sz w:val="22"/>
                      <w:szCs w:val="22"/>
                    </w:rPr>
                  </m:ctrlPr>
                </m:e>
              </m:nary>
              <m:ctrlPr>
                <w:rPr>
                  <w:rFonts w:hint="default" w:ascii="Cambria Math" w:hAnsi="Cambria Math" w:eastAsia="宋体" w:cs="Times New Roman"/>
                  <w:sz w:val="22"/>
                  <w:szCs w:val="22"/>
                </w:rPr>
              </m:ctrlPr>
            </m:e>
          </m:nary>
        </m:oMath>
      </m:oMathPara>
    </w:p>
    <w:p w14:paraId="273E70B0">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模型优势：可处理非线性关系、对共线性不敏感、无需标准化，适合医学高维指标筛选。</w:t>
      </w:r>
    </w:p>
    <w:p w14:paraId="2454322C">
      <w:pPr>
        <w:ind w:firstLine="440" w:firstLineChars="200"/>
        <w:outlineLvl w:val="2"/>
        <w:rPr>
          <w:rFonts w:hint="eastAsia" w:ascii="Times New Roman" w:hAnsi="Times New Roman" w:eastAsia="宋体" w:cs="Times New Roman"/>
          <w:sz w:val="22"/>
          <w:szCs w:val="22"/>
        </w:rPr>
      </w:pPr>
      <w:bookmarkStart w:id="27" w:name="_Toc1644"/>
      <w:bookmarkStart w:id="28" w:name="_Toc18174"/>
      <w:r>
        <w:rPr>
          <w:rFonts w:hint="eastAsia" w:cs="Times New Roman"/>
          <w:sz w:val="22"/>
          <w:szCs w:val="22"/>
          <w:lang w:val="en-US" w:eastAsia="zh-CN"/>
        </w:rPr>
        <w:t xml:space="preserve">5.2.3 </w:t>
      </w:r>
      <w:r>
        <w:rPr>
          <w:rFonts w:hint="eastAsia" w:ascii="Times New Roman" w:hAnsi="Times New Roman" w:eastAsia="宋体" w:cs="Times New Roman"/>
          <w:sz w:val="22"/>
          <w:szCs w:val="22"/>
        </w:rPr>
        <w:t>综合筛选规则</w:t>
      </w:r>
      <w:bookmarkEnd w:id="27"/>
      <w:bookmarkEnd w:id="28"/>
    </w:p>
    <w:p w14:paraId="32D798A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为同时满足“表征痰湿体质严重程度”与“预警高血脂发病风险”的双重目标，本文采用双模型交叉验证构建综合重要性指标，步骤如下：</w:t>
      </w:r>
    </w:p>
    <w:p w14:paraId="1FEFDF3A">
      <w:pPr>
        <w:ind w:firstLine="440" w:firstLineChars="200"/>
        <w:outlineLvl w:val="3"/>
        <w:rPr>
          <w:rFonts w:hint="eastAsia" w:ascii="Times New Roman" w:hAnsi="Times New Roman" w:eastAsia="宋体" w:cs="Times New Roman"/>
          <w:sz w:val="22"/>
          <w:szCs w:val="22"/>
          <w:lang w:val="en-US"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rPr>
        <w:t>分别提取单模型重要性</w:t>
      </w:r>
      <w:r>
        <w:rPr>
          <w:rFonts w:hint="eastAsia" w:ascii="Times New Roman" w:hAnsi="Times New Roman" w:eastAsia="宋体" w:cs="Times New Roman"/>
          <w:sz w:val="22"/>
          <w:szCs w:val="22"/>
          <w:lang w:val="en-US" w:eastAsia="zh-CN"/>
        </w:rPr>
        <w:t>:</w:t>
      </w:r>
    </w:p>
    <w:p w14:paraId="723DA4D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从LASSO回归模型中，提取各指标的回归系数绝对值</w:t>
      </w:r>
      <m:oMath>
        <m:d>
          <m:dPr>
            <m:begChr m:val="|"/>
            <m:endChr m:val="|"/>
            <m:ctrlPr>
              <w:rPr>
                <w:rFonts w:hint="eastAsia" w:ascii="Cambria Math" w:hAnsi="Cambria Math" w:eastAsia="宋体" w:cs="Times New Roman"/>
                <w:sz w:val="22"/>
                <w:szCs w:val="22"/>
              </w:rPr>
            </m:ctrlPr>
          </m:dPr>
          <m:e>
            <m:sSub>
              <m:sSubPr>
                <m:ctrlPr>
                  <w:rPr>
                    <w:rFonts w:hint="eastAsia" w:ascii="Cambria Math" w:hAnsi="Cambria Math" w:eastAsia="宋体" w:cs="Times New Roman"/>
                    <w:sz w:val="22"/>
                    <w:szCs w:val="22"/>
                  </w:rPr>
                </m:ctrlPr>
              </m:sSubPr>
              <m:e>
                <m:r>
                  <m:rPr>
                    <m:sty m:val="p"/>
                  </m:rPr>
                  <w:rPr>
                    <w:rFonts w:ascii="Cambria Math" w:hAnsi="Cambria Math" w:cs="Times New Roman"/>
                    <w:sz w:val="22"/>
                    <w:szCs w:val="22"/>
                  </w:rPr>
                  <m:t>β</m:t>
                </m:r>
                <m:ctrlPr>
                  <w:rPr>
                    <w:rFonts w:hint="eastAsia" w:ascii="Cambria Math" w:hAnsi="Cambria Math" w:eastAsia="宋体" w:cs="Times New Roman"/>
                    <w:sz w:val="22"/>
                    <w:szCs w:val="22"/>
                  </w:rPr>
                </m:ctrlPr>
              </m:e>
              <m:sub>
                <m:r>
                  <m:rPr>
                    <m:sty m:val="p"/>
                  </m:rPr>
                  <w:rPr>
                    <w:rFonts w:hint="eastAsia" w:ascii="Cambria Math" w:hAnsi="Cambria Math" w:cs="Times New Roman"/>
                    <w:sz w:val="22"/>
                    <w:szCs w:val="22"/>
                    <w:lang w:val="en-US" w:eastAsia="zh-CN"/>
                  </w:rPr>
                  <m:t>j</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e>
        </m:d>
      </m:oMath>
      <w:r>
        <w:rPr>
          <w:rFonts w:hint="eastAsia" w:ascii="Times New Roman" w:hAnsi="Times New Roman" w:eastAsia="宋体" w:cs="Times New Roman"/>
          <w:sz w:val="22"/>
          <w:szCs w:val="22"/>
        </w:rPr>
        <w:t>，作为指标对痰湿体质的表征能力。</w:t>
      </w:r>
    </w:p>
    <w:p w14:paraId="2EEB5D0E">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从随机森林模型中，提取各指标的特征重要性 </w:t>
      </w:r>
      <m:oMath>
        <m:r>
          <m:rPr>
            <m:sty m:val="p"/>
          </m:rPr>
          <w:rPr>
            <w:rFonts w:hint="eastAsia" w:ascii="Times New Roman" w:hAnsi="Times New Roman" w:eastAsia="宋体" w:cs="Times New Roman"/>
            <w:sz w:val="22"/>
            <w:szCs w:val="22"/>
            <w:lang w:val="en-US"/>
          </w:rPr>
          <m:t>R</m:t>
        </m:r>
        <m:sSub>
          <m:sSubPr>
            <m:ctrlPr>
              <w:rPr>
                <w:rFonts w:hint="eastAsia" w:ascii="Cambria Math" w:hAnsi="Cambria Math" w:eastAsia="宋体" w:cs="Times New Roman"/>
                <w:sz w:val="22"/>
                <w:szCs w:val="22"/>
                <w:lang w:val="en-US"/>
              </w:rPr>
            </m:ctrlPr>
          </m:sSubPr>
          <m:e>
            <m:r>
              <m:rPr>
                <m:sty m:val="p"/>
              </m:rPr>
              <w:rPr>
                <w:rFonts w:hint="default" w:ascii="Times New Roman" w:hAnsi="Times New Roman" w:eastAsia="宋体" w:cs="Times New Roman"/>
                <w:sz w:val="22"/>
                <w:szCs w:val="22"/>
                <w:lang w:val="en-US" w:eastAsia="zh-CN"/>
              </w:rPr>
              <m:t>F</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Sub>
      </m:oMath>
      <w:r>
        <w:rPr>
          <w:rFonts w:hint="eastAsia" w:ascii="Times New Roman" w:hAnsi="Times New Roman" w:eastAsia="宋体" w:cs="Times New Roman"/>
          <w:sz w:val="22"/>
          <w:szCs w:val="22"/>
        </w:rPr>
        <w:t>，作为指标对高血脂的预警能力。</w:t>
      </w:r>
    </w:p>
    <w:p w14:paraId="3B066E36">
      <w:pPr>
        <w:ind w:firstLine="440" w:firstLineChars="200"/>
        <w:outlineLvl w:val="3"/>
        <w:rPr>
          <w:rFonts w:hint="eastAsia" w:ascii="Times New Roman" w:hAnsi="Times New Roman" w:eastAsia="宋体" w:cs="Times New Roman"/>
          <w:sz w:val="22"/>
          <w:szCs w:val="22"/>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rPr>
        <w:t>消除量纲差异：Min-Max归一化</w:t>
      </w:r>
    </w:p>
    <w:p w14:paraId="37D2862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对两类重要性分别进行归一化，映射至</w:t>
      </w:r>
      <m:oMath>
        <m:r>
          <m:rPr>
            <m:sty m:val="p"/>
          </m:rPr>
          <w:rPr>
            <w:rFonts w:hint="eastAsia" w:ascii="Cambria Math" w:hAnsi="Cambria Math" w:eastAsia="宋体" w:cs="Times New Roman"/>
            <w:kern w:val="2"/>
            <w:sz w:val="22"/>
            <w:szCs w:val="22"/>
            <w:lang w:val="en-US" w:bidi="ar-SA"/>
          </w:rPr>
          <m:t>[0,1]</m:t>
        </m:r>
      </m:oMath>
      <w:r>
        <w:rPr>
          <w:rFonts w:hint="eastAsia" w:ascii="Times New Roman" w:hAnsi="Times New Roman" w:eastAsia="宋体" w:cs="Times New Roman"/>
          <w:sz w:val="22"/>
          <w:szCs w:val="22"/>
        </w:rPr>
        <w:t>区间：</w:t>
      </w:r>
    </w:p>
    <w:p w14:paraId="172412AE">
      <w:pPr>
        <w:ind w:firstLine="440" w:firstLineChars="200"/>
        <w:rPr>
          <w:rFonts w:hint="default" w:ascii="Times New Roman" w:hAnsi="Times New Roman" w:eastAsia="宋体" w:cs="Times New Roman"/>
          <w:sz w:val="22"/>
          <w:szCs w:val="22"/>
          <w:lang w:val="en-US" w:eastAsia="zh-CN"/>
        </w:rPr>
      </w:pPr>
      <m:oMathPara>
        <m:oMath>
          <m:sSubSup>
            <m:sSubSupPr>
              <m:ctrlPr>
                <w:rPr>
                  <w:rFonts w:hint="eastAsia" w:ascii="Cambria Math" w:hAnsi="Cambria Math" w:eastAsia="宋体" w:cs="Times New Roman"/>
                  <w:sz w:val="22"/>
                  <w:szCs w:val="22"/>
                </w:rPr>
              </m:ctrlPr>
            </m:sSubSupPr>
            <m:e>
              <m:r>
                <m:rPr>
                  <m:sty m:val="p"/>
                </m:rPr>
                <w:rPr>
                  <w:rFonts w:hint="default" w:ascii="Times New Roman" w:hAnsi="Times New Roman" w:eastAsia="宋体" w:cs="Times New Roman"/>
                  <w:sz w:val="22"/>
                  <w:szCs w:val="22"/>
                  <w:lang w:val="en-US" w:eastAsia="zh-CN"/>
                </w:rPr>
                <m:t>LASSO</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rPr>
              </m:ctrlPr>
            </m:sup>
          </m:sSubSup>
          <m:r>
            <m:rPr>
              <m:sty m:val="p"/>
            </m:rPr>
            <w:rPr>
              <w:rFonts w:hint="default" w:ascii="Times New Roman" w:hAnsi="Times New Roman" w:eastAsia="宋体" w:cs="Times New Roman"/>
              <w:sz w:val="22"/>
              <w:szCs w:val="22"/>
              <w:lang w:val="en-US" w:eastAsia="zh-CN"/>
            </w:rPr>
            <m:t>=</m:t>
          </m:r>
          <m:f>
            <m:fPr>
              <m:ctrlPr>
                <w:rPr>
                  <w:rFonts w:hint="default" w:ascii="Cambria Math" w:hAnsi="Cambria Math" w:eastAsia="宋体" w:cs="Times New Roman"/>
                  <w:sz w:val="22"/>
                  <w:szCs w:val="22"/>
                  <w:lang w:val="en-US" w:eastAsia="zh-CN"/>
                </w:rPr>
              </m:ctrlPr>
            </m:fPr>
            <m:num>
              <m:d>
                <m:dPr>
                  <m:begChr m:val="|"/>
                  <m:endChr m:val="|"/>
                  <m:ctrlPr>
                    <w:rPr>
                      <w:rFonts w:hint="default" w:ascii="Cambria Math" w:hAnsi="Cambria Math" w:eastAsia="宋体" w:cs="Times New Roman"/>
                      <w:sz w:val="22"/>
                      <w:szCs w:val="22"/>
                      <w:lang w:val="en-US" w:eastAsia="zh-CN"/>
                    </w:rPr>
                  </m:ctrlPr>
                </m:dPr>
                <m:e>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−min</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num>
            <m:den>
              <m:r>
                <m:rPr>
                  <m:sty m:val="p"/>
                </m:rPr>
                <w:rPr>
                  <w:rFonts w:hint="default" w:ascii="Times New Roman" w:hAnsi="Times New Roman" w:eastAsia="宋体" w:cs="Times New Roman"/>
                  <w:sz w:val="22"/>
                  <w:szCs w:val="22"/>
                  <w:lang w:val="en-US" w:eastAsia="zh-CN"/>
                </w:rPr>
                <m:t>max</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−min</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den>
          </m:f>
        </m:oMath>
      </m:oMathPara>
    </w:p>
    <w:p w14:paraId="25346A5B">
      <w:pPr>
        <w:ind w:firstLine="440" w:firstLineChars="200"/>
        <w:rPr>
          <w:rFonts w:hint="default" w:ascii="Times New Roman" w:hAnsi="Times New Roman" w:eastAsia="宋体" w:cs="Times New Roman"/>
          <w:sz w:val="22"/>
          <w:szCs w:val="22"/>
          <w:lang w:val="en-US" w:eastAsia="zh-CN"/>
        </w:rPr>
      </w:pPr>
      <m:oMathPara>
        <m:oMath>
          <m:r>
            <m:rPr>
              <m:sty m:val="p"/>
            </m:rPr>
            <w:rPr>
              <w:rFonts w:hint="default" w:ascii="Times New Roman" w:hAnsi="Times New Roman" w:eastAsia="宋体" w:cs="Times New Roman"/>
              <w:sz w:val="22"/>
              <w:szCs w:val="22"/>
              <w:lang w:val="en-US" w:eastAsia="zh-CN"/>
            </w:rPr>
            <m:t>R</m:t>
          </m:r>
          <m:sSubSup>
            <m:sSubSupPr>
              <m:ctrlPr>
                <w:rPr>
                  <w:rFonts w:hint="default" w:ascii="Cambria Math" w:hAnsi="Cambria Math" w:eastAsia="宋体" w:cs="Times New Roman"/>
                  <w:sz w:val="22"/>
                  <w:szCs w:val="22"/>
                  <w:lang w:val="en-US" w:eastAsia="zh-CN"/>
                </w:rPr>
              </m:ctrlPr>
            </m:sSubSupPr>
            <m:e>
              <m:r>
                <m:rPr>
                  <m:sty m:val="p"/>
                </m:rPr>
                <w:rPr>
                  <w:rFonts w:hint="default" w:ascii="Times New Roman" w:hAnsi="Times New Roman" w:eastAsia="宋体" w:cs="Times New Roman"/>
                  <w:sz w:val="22"/>
                  <w:szCs w:val="22"/>
                  <w:lang w:val="en-US" w:eastAsia="zh-CN"/>
                </w:rPr>
                <m:t>F</m:t>
              </m:r>
              <m:ctrlPr>
                <w:rPr>
                  <w:rFonts w:hint="default"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j</m:t>
              </m:r>
              <m:ctrlPr>
                <w:rPr>
                  <w:rFonts w:hint="default" w:ascii="Cambria Math" w:hAnsi="Cambria Math" w:eastAsia="宋体" w:cs="Times New Roman"/>
                  <w:sz w:val="22"/>
                  <w:szCs w:val="22"/>
                  <w:lang w:val="en-US" w:eastAsia="zh-CN"/>
                </w:rPr>
              </m:ctrlPr>
            </m:sub>
            <m:sup>
              <m:r>
                <m:rPr>
                  <m:sty m:val="p"/>
                </m:rPr>
                <w:rPr>
                  <w:rFonts w:hint="default" w:ascii="Times New Roman" w:hAnsi="Times New Roman" w:eastAsia="宋体" w:cs="Times New Roman"/>
                  <w:sz w:val="22"/>
                  <w:szCs w:val="22"/>
                  <w:lang w:val="en-US" w:eastAsia="zh-CN"/>
                </w:rPr>
                <m:t>∗</m:t>
              </m:r>
              <m:ctrlPr>
                <w:rPr>
                  <w:rFonts w:hint="default" w:ascii="Cambria Math" w:hAnsi="Cambria Math" w:eastAsia="宋体" w:cs="Times New Roman"/>
                  <w:sz w:val="22"/>
                  <w:szCs w:val="22"/>
                  <w:lang w:val="en-US" w:eastAsia="zh-CN"/>
                </w:rPr>
              </m:ctrlPr>
            </m:sup>
          </m:sSubSup>
          <m:r>
            <m:rPr>
              <m:sty m:val="p"/>
            </m:rPr>
            <w:rPr>
              <w:rFonts w:hint="default" w:ascii="Times New Roman" w:hAnsi="Times New Roman" w:eastAsia="宋体" w:cs="Times New Roman"/>
              <w:sz w:val="22"/>
              <w:szCs w:val="22"/>
              <w:lang w:val="en-US" w:eastAsia="zh-CN"/>
            </w:rPr>
            <m:t>=</m:t>
          </m:r>
          <m:f>
            <m:fPr>
              <m:ctrlPr>
                <w:rPr>
                  <w:rFonts w:hint="default" w:ascii="Cambria Math" w:hAnsi="Cambria Math" w:eastAsia="宋体" w:cs="Times New Roman"/>
                  <w:sz w:val="22"/>
                  <w:szCs w:val="22"/>
                  <w:lang w:val="en-US" w:eastAsia="zh-CN"/>
                </w:rPr>
              </m:ctrlPr>
            </m:fPr>
            <m:num>
              <m:r>
                <m:rPr>
                  <m:sty m:val="p"/>
                </m:rPr>
                <w:rPr>
                  <w:rFonts w:hint="default" w:ascii="Times New Roman" w:hAnsi="Times New Roman" w:eastAsia="宋体" w:cs="Times New Roman"/>
                  <w:sz w:val="22"/>
                  <w:szCs w:val="22"/>
                  <w:lang w:val="en-US" w:eastAsia="zh-CN"/>
                </w:rPr>
                <m:t>R</m:t>
              </m:r>
              <m:sSub>
                <m:sSubPr>
                  <m:ctrlPr>
                    <w:rPr>
                      <w:rFonts w:hint="default" w:ascii="Cambria Math" w:hAnsi="Cambria Math" w:eastAsia="宋体" w:cs="Times New Roman"/>
                      <w:sz w:val="22"/>
                      <w:szCs w:val="22"/>
                      <w:lang w:val="en-US" w:eastAsia="zh-CN"/>
                    </w:rPr>
                  </m:ctrlPr>
                </m:sSubPr>
                <m:e>
                  <m:r>
                    <m:rPr>
                      <m:sty m:val="p"/>
                    </m:rPr>
                    <w:rPr>
                      <w:rFonts w:hint="default" w:ascii="Times New Roman" w:hAnsi="Times New Roman" w:eastAsia="宋体" w:cs="Times New Roman"/>
                      <w:sz w:val="22"/>
                      <w:szCs w:val="22"/>
                      <w:lang w:val="en-US" w:eastAsia="zh-CN"/>
                    </w:rPr>
                    <m:t>F</m:t>
                  </m:r>
                  <m:ctrlPr>
                    <w:rPr>
                      <w:rFonts w:hint="default"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j</m:t>
                  </m:r>
                  <m:ctrlPr>
                    <w:rPr>
                      <w:rFonts w:hint="default" w:ascii="Cambria Math" w:hAnsi="Cambria Math" w:eastAsia="宋体" w:cs="Times New Roman"/>
                      <w:sz w:val="22"/>
                      <w:szCs w:val="22"/>
                      <w:lang w:val="en-US" w:eastAsia="zh-CN"/>
                    </w:rPr>
                  </m:ctrlPr>
                </m:sub>
              </m:sSub>
              <m:r>
                <m:rPr>
                  <m:sty m:val="p"/>
                </m:rPr>
                <w:rPr>
                  <w:rFonts w:hint="default" w:ascii="Times New Roman" w:hAnsi="Times New Roman" w:eastAsia="宋体" w:cs="Times New Roman"/>
                  <w:sz w:val="22"/>
                  <w:szCs w:val="22"/>
                  <w:lang w:val="en-US" w:eastAsia="zh-CN"/>
                </w:rPr>
                <m:t>−min(RF)</m:t>
              </m:r>
              <m:ctrlPr>
                <w:rPr>
                  <w:rFonts w:hint="default" w:ascii="Cambria Math" w:hAnsi="Cambria Math" w:eastAsia="宋体" w:cs="Times New Roman"/>
                  <w:sz w:val="22"/>
                  <w:szCs w:val="22"/>
                  <w:lang w:val="en-US" w:eastAsia="zh-CN"/>
                </w:rPr>
              </m:ctrlPr>
            </m:num>
            <m:den>
              <m:r>
                <m:rPr>
                  <m:sty m:val="p"/>
                </m:rPr>
                <w:rPr>
                  <w:rFonts w:hint="default" w:ascii="Times New Roman" w:hAnsi="Times New Roman" w:eastAsia="宋体" w:cs="Times New Roman"/>
                  <w:sz w:val="22"/>
                  <w:szCs w:val="22"/>
                  <w:lang w:val="en-US" w:eastAsia="zh-CN"/>
                </w:rPr>
                <m:t>max(RF)−min(RF)</m:t>
              </m:r>
              <m:ctrlPr>
                <w:rPr>
                  <w:rFonts w:hint="default" w:ascii="Cambria Math" w:hAnsi="Cambria Math" w:eastAsia="宋体" w:cs="Times New Roman"/>
                  <w:sz w:val="22"/>
                  <w:szCs w:val="22"/>
                  <w:lang w:val="en-US" w:eastAsia="zh-CN"/>
                </w:rPr>
              </m:ctrlPr>
            </m:den>
          </m:f>
        </m:oMath>
      </m:oMathPara>
    </w:p>
    <w:p w14:paraId="505D1375">
      <w:pPr>
        <w:ind w:firstLine="440" w:firstLineChars="200"/>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rPr>
        <w:t>计算综合重要性得分将两个归一化结果等权重相加，得到综合重要性：</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lang w:val="en-US"/>
              </w:rPr>
              <m:t>Score</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lang w:val="en-US"/>
          </w:rPr>
          <m:t>=</m:t>
        </m:r>
        <m:sSubSup>
          <m:sSubSupPr>
            <m:ctrlPr>
              <w:rPr>
                <w:rFonts w:hint="eastAsia" w:ascii="Cambria Math" w:hAnsi="Cambria Math" w:eastAsia="宋体" w:cs="Times New Roman"/>
                <w:sz w:val="22"/>
                <w:szCs w:val="22"/>
                <w:lang w:val="en-US"/>
              </w:rPr>
            </m:ctrlPr>
          </m:sSubSupPr>
          <m:e>
            <m:r>
              <m:rPr>
                <m:sty m:val="p"/>
              </m:rPr>
              <w:rPr>
                <w:rFonts w:hint="eastAsia" w:ascii="Times New Roman" w:hAnsi="Times New Roman" w:eastAsia="宋体" w:cs="Times New Roman"/>
                <w:sz w:val="22"/>
                <w:szCs w:val="22"/>
                <w:lang w:val="en-US"/>
              </w:rPr>
              <m:t>LASSO</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lang w:val="en-US"/>
              </w:rPr>
            </m:ctrlPr>
          </m:sup>
        </m:sSubSup>
        <m:r>
          <m:rPr>
            <m:sty m:val="p"/>
          </m:rPr>
          <w:rPr>
            <w:rFonts w:hint="eastAsia" w:ascii="Times New Roman" w:hAnsi="Times New Roman" w:eastAsia="宋体" w:cs="Times New Roman"/>
            <w:sz w:val="22"/>
            <w:szCs w:val="22"/>
            <w:lang w:val="en-US"/>
          </w:rPr>
          <m:t>+R</m:t>
        </m:r>
        <m:sSubSup>
          <m:sSubSupPr>
            <m:ctrlPr>
              <w:rPr>
                <w:rFonts w:hint="eastAsia" w:ascii="Cambria Math" w:hAnsi="Cambria Math" w:eastAsia="宋体" w:cs="Times New Roman"/>
                <w:sz w:val="22"/>
                <w:szCs w:val="22"/>
                <w:lang w:val="en-US"/>
              </w:rPr>
            </m:ctrlPr>
          </m:sSubSupPr>
          <m:e>
            <m:r>
              <m:rPr>
                <m:sty m:val="p"/>
              </m:rPr>
              <w:rPr>
                <w:rFonts w:hint="eastAsia" w:ascii="Times New Roman" w:hAnsi="Times New Roman" w:eastAsia="宋体" w:cs="Times New Roman"/>
                <w:sz w:val="22"/>
                <w:szCs w:val="22"/>
                <w:lang w:val="en-US"/>
              </w:rPr>
              <m:t>F</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lang w:val="en-US"/>
              </w:rPr>
            </m:ctrlPr>
          </m:sup>
        </m:sSubSup>
      </m:oMath>
    </w:p>
    <w:p w14:paraId="2441BD3F">
      <w:pPr>
        <w:ind w:firstLine="440" w:firstLineChars="200"/>
        <w:rPr>
          <w:rFonts w:hint="eastAsia" w:ascii="Times New Roman" w:hAnsi="Times New Roman" w:eastAsia="宋体" w:cs="Times New Roman"/>
          <w:sz w:val="22"/>
          <w:szCs w:val="22"/>
        </w:rPr>
      </w:pP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lang w:val="en-US"/>
              </w:rPr>
              <m:t>Score</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越高，说明该指标同时具备痰湿体质表征与高血脂预警双重价值。</w:t>
      </w:r>
    </w:p>
    <w:p w14:paraId="426E2EF2">
      <w:pPr>
        <w:outlineLvl w:val="1"/>
        <w:rPr>
          <w:rFonts w:hint="eastAsia" w:ascii="Times New Roman" w:hAnsi="Times New Roman" w:eastAsia="宋体" w:cs="Times New Roman"/>
          <w:sz w:val="22"/>
          <w:szCs w:val="22"/>
        </w:rPr>
      </w:pPr>
      <w:bookmarkStart w:id="29" w:name="_Toc15558"/>
      <w:bookmarkStart w:id="30" w:name="_Toc21580"/>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w:t>
      </w:r>
      <w:r>
        <w:rPr>
          <w:rFonts w:hint="eastAsia" w:cs="Times New Roman"/>
          <w:sz w:val="22"/>
          <w:szCs w:val="22"/>
          <w:lang w:val="en-US" w:eastAsia="zh-CN"/>
        </w:rPr>
        <w:t>3</w:t>
      </w:r>
      <w:r>
        <w:rPr>
          <w:rFonts w:hint="eastAsia" w:ascii="Times New Roman" w:hAnsi="Times New Roman" w:eastAsia="宋体" w:cs="Times New Roman"/>
          <w:sz w:val="22"/>
          <w:szCs w:val="22"/>
        </w:rPr>
        <w:t xml:space="preserve"> 理论分析</w:t>
      </w:r>
      <w:bookmarkEnd w:id="29"/>
      <w:bookmarkEnd w:id="30"/>
    </w:p>
    <w:p w14:paraId="7EF1EB9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LASSO回归通过全局正则化，在高度相关的体检指标中仅保留最具代表性的特征，避免冗余与共线性导致的模型失效。</w:t>
      </w:r>
    </w:p>
    <w:p w14:paraId="3661BCF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随机森林基于集成学习，通过多树投票降低过拟合，MDI重要性可客观识别对高血脂分类最具贡献的核心指标。</w:t>
      </w:r>
    </w:p>
    <w:p w14:paraId="330CA26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双模型结合可同时满足“表征痰湿体质（回归）”与“预警高血脂（分类）”双重目标，筛选结果更稳健、更具临床解释力。</w:t>
      </w:r>
    </w:p>
    <w:p w14:paraId="3CAB7FDB">
      <w:pPr>
        <w:outlineLvl w:val="1"/>
        <w:rPr>
          <w:rFonts w:hint="eastAsia" w:ascii="Times New Roman" w:hAnsi="Times New Roman" w:eastAsia="宋体" w:cs="Times New Roman"/>
          <w:sz w:val="22"/>
          <w:szCs w:val="22"/>
        </w:rPr>
      </w:pPr>
      <w:bookmarkStart w:id="31" w:name="_Toc13764"/>
      <w:bookmarkStart w:id="32" w:name="_Toc19046"/>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w:t>
      </w:r>
      <w:r>
        <w:rPr>
          <w:rFonts w:hint="eastAsia" w:cs="Times New Roman"/>
          <w:sz w:val="22"/>
          <w:szCs w:val="22"/>
          <w:lang w:val="en-US" w:eastAsia="zh-CN"/>
        </w:rPr>
        <w:t>4</w:t>
      </w:r>
      <w:r>
        <w:rPr>
          <w:rFonts w:hint="eastAsia" w:ascii="Times New Roman" w:hAnsi="Times New Roman" w:eastAsia="宋体" w:cs="Times New Roman"/>
          <w:sz w:val="22"/>
          <w:szCs w:val="22"/>
        </w:rPr>
        <w:t xml:space="preserve"> 实验结果与分析</w:t>
      </w:r>
      <w:bookmarkEnd w:id="31"/>
      <w:bookmarkEnd w:id="32"/>
    </w:p>
    <w:p w14:paraId="53F052D9">
      <w:pPr>
        <w:outlineLvl w:val="2"/>
        <w:rPr>
          <w:rFonts w:hint="eastAsia" w:ascii="Times New Roman" w:hAnsi="Times New Roman" w:eastAsia="宋体" w:cs="Times New Roman"/>
          <w:sz w:val="22"/>
          <w:szCs w:val="22"/>
        </w:rPr>
      </w:pPr>
      <w:bookmarkStart w:id="33" w:name="_Toc30556"/>
      <w:bookmarkStart w:id="34" w:name="_Toc23743"/>
      <w:r>
        <w:rPr>
          <w:rFonts w:hint="eastAsia" w:cs="Times New Roman"/>
          <w:sz w:val="22"/>
          <w:szCs w:val="22"/>
          <w:lang w:val="en-US" w:eastAsia="zh-CN"/>
        </w:rPr>
        <w:t xml:space="preserve">5.4.1 </w:t>
      </w:r>
      <w:r>
        <w:rPr>
          <w:rFonts w:hint="eastAsia" w:ascii="Times New Roman" w:hAnsi="Times New Roman" w:eastAsia="宋体" w:cs="Times New Roman"/>
          <w:sz w:val="22"/>
          <w:szCs w:val="22"/>
        </w:rPr>
        <w:t>LASSO回归结果</w:t>
      </w:r>
      <w:bookmarkEnd w:id="33"/>
      <w:bookmarkEnd w:id="34"/>
    </w:p>
    <w:p w14:paraId="6D47707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交叉验证最优alpha=0.0051，三种准则筛选结果：</w:t>
      </w:r>
    </w:p>
    <w:p w14:paraId="779B3EC7">
      <w:pPr>
        <w:jc w:val="left"/>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 xml:space="preserve">1 </w:t>
      </w:r>
      <w:r>
        <w:rPr>
          <w:rFonts w:hint="eastAsia" w:ascii="Times New Roman" w:hAnsi="Times New Roman" w:eastAsia="宋体" w:cs="Times New Roman"/>
          <w:sz w:val="20"/>
          <w:szCs w:val="20"/>
        </w:rPr>
        <w:t>LASSO回归不同准则下特征选择结果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072D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5" w:type="dxa"/>
            <w:tcBorders>
              <w:top w:val="single" w:color="000000" w:sz="12" w:space="0"/>
              <w:left w:val="nil"/>
              <w:bottom w:val="single" w:color="000000" w:sz="4" w:space="0"/>
              <w:right w:val="nil"/>
              <w:tl2br w:val="nil"/>
            </w:tcBorders>
            <w:shd w:val="clear" w:color="auto" w:fill="FFFFFF"/>
            <w:vAlign w:val="center"/>
          </w:tcPr>
          <w:p w14:paraId="5201E96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准则</w:t>
            </w:r>
          </w:p>
        </w:tc>
        <w:tc>
          <w:tcPr>
            <w:tcW w:w="3095" w:type="dxa"/>
            <w:tcBorders>
              <w:top w:val="single" w:color="000000" w:sz="12" w:space="0"/>
              <w:left w:val="nil"/>
              <w:bottom w:val="single" w:color="000000" w:sz="4" w:space="0"/>
              <w:right w:val="nil"/>
              <w:tl2br w:val="nil"/>
            </w:tcBorders>
            <w:shd w:val="clear" w:color="auto" w:fill="FFFFFF"/>
            <w:vAlign w:val="center"/>
          </w:tcPr>
          <w:p w14:paraId="216CA9C6">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alpha</w:t>
            </w:r>
          </w:p>
        </w:tc>
        <w:tc>
          <w:tcPr>
            <w:tcW w:w="3096" w:type="dxa"/>
            <w:tcBorders>
              <w:top w:val="single" w:color="000000" w:sz="12" w:space="0"/>
              <w:left w:val="nil"/>
              <w:bottom w:val="single" w:color="000000" w:sz="4" w:space="0"/>
              <w:right w:val="nil"/>
            </w:tcBorders>
            <w:shd w:val="clear" w:color="auto" w:fill="FFFFFF"/>
            <w:vAlign w:val="center"/>
          </w:tcPr>
          <w:p w14:paraId="4CEE0D2B">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选中特征数</w:t>
            </w:r>
          </w:p>
        </w:tc>
      </w:tr>
      <w:tr w14:paraId="5380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4" w:space="0"/>
              <w:left w:val="nil"/>
              <w:bottom w:val="nil"/>
              <w:right w:val="nil"/>
            </w:tcBorders>
            <w:shd w:val="clear" w:color="auto" w:fill="FFFFFF"/>
            <w:vAlign w:val="center"/>
          </w:tcPr>
          <w:p w14:paraId="3AB994B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最小 MSE 准则</w:t>
            </w:r>
          </w:p>
        </w:tc>
        <w:tc>
          <w:tcPr>
            <w:tcW w:w="3095" w:type="dxa"/>
            <w:tcBorders>
              <w:top w:val="single" w:color="000000" w:sz="4" w:space="0"/>
              <w:left w:val="nil"/>
              <w:bottom w:val="nil"/>
              <w:right w:val="nil"/>
            </w:tcBorders>
            <w:shd w:val="clear" w:color="auto" w:fill="FFFFFF"/>
            <w:vAlign w:val="center"/>
          </w:tcPr>
          <w:p w14:paraId="0F05662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alpha=0.0051</w:t>
            </w:r>
            <w:r>
              <w:rPr>
                <w:rFonts w:hint="eastAsia" w:ascii="Times New Roman" w:hAnsi="Times New Roman" w:eastAsia="宋体" w:cs="Times New Roman"/>
                <w:b w:val="0"/>
                <w:color w:val="000000"/>
                <w:sz w:val="22"/>
                <w:szCs w:val="22"/>
                <w:lang w:val="en-US" w:eastAsia="zh-CN"/>
              </w:rPr>
              <w:t>08</w:t>
            </w:r>
          </w:p>
        </w:tc>
        <w:tc>
          <w:tcPr>
            <w:tcW w:w="3096" w:type="dxa"/>
            <w:tcBorders>
              <w:top w:val="single" w:color="000000" w:sz="4" w:space="0"/>
              <w:left w:val="nil"/>
              <w:bottom w:val="nil"/>
              <w:right w:val="nil"/>
            </w:tcBorders>
            <w:shd w:val="clear" w:color="auto" w:fill="FFFFFF"/>
            <w:vAlign w:val="center"/>
          </w:tcPr>
          <w:p w14:paraId="7172B32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r>
      <w:tr w14:paraId="3381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20A112A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1-SE 准则</w:t>
            </w:r>
          </w:p>
        </w:tc>
        <w:tc>
          <w:tcPr>
            <w:tcW w:w="3095" w:type="dxa"/>
            <w:tcBorders>
              <w:top w:val="nil"/>
              <w:left w:val="nil"/>
              <w:bottom w:val="nil"/>
              <w:right w:val="nil"/>
            </w:tcBorders>
            <w:shd w:val="clear" w:color="auto" w:fill="FFFFFF"/>
            <w:vAlign w:val="center"/>
          </w:tcPr>
          <w:p w14:paraId="56A269C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w:t>
            </w:r>
            <w:r>
              <w:rPr>
                <w:rFonts w:hint="eastAsia" w:ascii="Times New Roman" w:hAnsi="Times New Roman" w:eastAsia="宋体" w:cs="Times New Roman"/>
                <w:b w:val="0"/>
                <w:color w:val="000000"/>
                <w:sz w:val="22"/>
                <w:szCs w:val="22"/>
                <w:lang w:val="en-US" w:eastAsia="zh-CN"/>
              </w:rPr>
              <w:t>0957</w:t>
            </w:r>
          </w:p>
        </w:tc>
        <w:tc>
          <w:tcPr>
            <w:tcW w:w="3096" w:type="dxa"/>
            <w:tcBorders>
              <w:top w:val="nil"/>
              <w:left w:val="nil"/>
              <w:bottom w:val="nil"/>
              <w:right w:val="nil"/>
            </w:tcBorders>
            <w:shd w:val="clear" w:color="auto" w:fill="FFFFFF"/>
            <w:vAlign w:val="center"/>
          </w:tcPr>
          <w:p w14:paraId="4FE642E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13</w:t>
            </w:r>
          </w:p>
        </w:tc>
      </w:tr>
      <w:tr w14:paraId="2DDF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61C1A01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宽松(alpha*0.1)</w:t>
            </w:r>
          </w:p>
        </w:tc>
        <w:tc>
          <w:tcPr>
            <w:tcW w:w="3095" w:type="dxa"/>
            <w:tcBorders>
              <w:top w:val="nil"/>
              <w:left w:val="nil"/>
              <w:bottom w:val="single" w:color="000000" w:sz="12" w:space="0"/>
              <w:right w:val="nil"/>
            </w:tcBorders>
            <w:shd w:val="clear" w:color="auto" w:fill="FFFFFF"/>
            <w:vAlign w:val="center"/>
          </w:tcPr>
          <w:p w14:paraId="5FE7822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alpha=0.0005</w:t>
            </w:r>
            <w:r>
              <w:rPr>
                <w:rFonts w:hint="eastAsia" w:ascii="Times New Roman" w:hAnsi="Times New Roman" w:eastAsia="宋体" w:cs="Times New Roman"/>
                <w:b w:val="0"/>
                <w:color w:val="000000"/>
                <w:sz w:val="22"/>
                <w:szCs w:val="22"/>
                <w:lang w:val="en-US" w:eastAsia="zh-CN"/>
              </w:rPr>
              <w:t>11</w:t>
            </w:r>
          </w:p>
        </w:tc>
        <w:tc>
          <w:tcPr>
            <w:tcW w:w="3096" w:type="dxa"/>
            <w:tcBorders>
              <w:top w:val="nil"/>
              <w:left w:val="nil"/>
              <w:bottom w:val="single" w:color="000000" w:sz="12" w:space="0"/>
              <w:right w:val="nil"/>
            </w:tcBorders>
            <w:shd w:val="clear" w:color="auto" w:fill="FFFFFF"/>
            <w:vAlign w:val="center"/>
          </w:tcPr>
          <w:p w14:paraId="6C205B8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17</w:t>
            </w:r>
          </w:p>
        </w:tc>
      </w:tr>
    </w:tbl>
    <w:p w14:paraId="1029BDFC">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eastAsia="zh-CN"/>
        </w:rPr>
        <w:drawing>
          <wp:inline distT="0" distB="0" distL="114300" distR="114300">
            <wp:extent cx="4830445" cy="3910330"/>
            <wp:effectExtent l="0" t="0" r="635" b="6350"/>
            <wp:docPr id="1" name="图片 1" descr="lasso_resul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asso_results(1)"/>
                    <pic:cNvPicPr>
                      <a:picLocks noChangeAspect="1"/>
                    </pic:cNvPicPr>
                  </pic:nvPicPr>
                  <pic:blipFill>
                    <a:blip r:embed="rId8"/>
                    <a:stretch>
                      <a:fillRect/>
                    </a:stretch>
                  </pic:blipFill>
                  <pic:spPr>
                    <a:xfrm>
                      <a:off x="0" y="0"/>
                      <a:ext cx="4830445" cy="3910330"/>
                    </a:xfrm>
                    <a:prstGeom prst="rect">
                      <a:avLst/>
                    </a:prstGeom>
                  </pic:spPr>
                </pic:pic>
              </a:graphicData>
            </a:graphic>
          </wp:inline>
        </w:drawing>
      </w:r>
    </w:p>
    <w:p w14:paraId="4574E823">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2</w:t>
      </w:r>
      <w:r>
        <w:rPr>
          <w:rFonts w:hint="eastAsia" w:ascii="Times New Roman" w:hAnsi="Times New Roman" w:eastAsia="宋体" w:cs="Times New Roman"/>
          <w:sz w:val="20"/>
          <w:szCs w:val="20"/>
          <w:lang w:val="en-US" w:eastAsia="zh-CN"/>
        </w:rPr>
        <w:t xml:space="preserve"> </w:t>
      </w:r>
      <w:r>
        <w:rPr>
          <w:rFonts w:hint="eastAsia" w:ascii="Times New Roman" w:hAnsi="Times New Roman" w:eastAsia="宋体" w:cs="Times New Roman"/>
          <w:sz w:val="20"/>
          <w:szCs w:val="20"/>
        </w:rPr>
        <w:t>LASSO 回归交叉验证MSE随alpha变化曲线</w:t>
      </w:r>
    </w:p>
    <w:p w14:paraId="5387A2A8">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宽松准则下Top5指标：</w:t>
      </w:r>
    </w:p>
    <w:p w14:paraId="2A1B4F3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①ADL吃饭（-0.068108，负向）</w:t>
      </w:r>
    </w:p>
    <w:p w14:paraId="59B7382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②TC总胆固醇（-0.047641，负向）</w:t>
      </w:r>
    </w:p>
    <w:p w14:paraId="2AA779C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③IADL交通（0.024025，正向）</w:t>
      </w:r>
    </w:p>
    <w:p w14:paraId="217471B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④LDL-C低密度脂蛋白（0.019938，正向）</w:t>
      </w:r>
    </w:p>
    <w:p w14:paraId="0ED5042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⑤ADL洗澡（0.016070，正向）</w:t>
      </w:r>
    </w:p>
    <w:p w14:paraId="2345722A">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624C82F3">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活动能力指标（ADL吃饭、ADL洗澡、IADL交通）对痰湿体质具有显著表征作用，符合中医 “脾主运化、活动助痰湿排出” 理论；</w:t>
      </w:r>
    </w:p>
    <w:p w14:paraId="663702DE">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血脂指标 TC、LDL-C同步入选，提示痰湿体质与血脂代谢直接相关；</w:t>
      </w:r>
    </w:p>
    <w:p w14:paraId="3E0C2EDB">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rPr>
        <w:t>模型</w:t>
      </w:r>
      <m:oMath>
        <m:r>
          <m:rPr>
            <m:sty m:val="p"/>
          </m:rPr>
          <w:rPr>
            <w:rFonts w:hint="eastAsia" w:ascii="Times New Roman" w:hAnsi="Times New Roman" w:eastAsia="宋体" w:cs="Times New Roman"/>
            <w:sz w:val="22"/>
            <w:szCs w:val="22"/>
            <w:lang w:val="en-US"/>
          </w:rPr>
          <m:t>R²=0.0146</m:t>
        </m:r>
      </m:oMath>
      <w:r>
        <w:rPr>
          <w:rFonts w:hint="eastAsia" w:ascii="Times New Roman" w:hAnsi="Times New Roman" w:eastAsia="宋体" w:cs="Times New Roman"/>
          <w:sz w:val="22"/>
          <w:szCs w:val="22"/>
        </w:rPr>
        <w:t>偏低，说明痰湿体质受多因素综合影响，单一线性模型解释力有限。</w:t>
      </w:r>
    </w:p>
    <w:p w14:paraId="29BB9889">
      <w:pPr>
        <w:outlineLvl w:val="2"/>
        <w:rPr>
          <w:rFonts w:hint="eastAsia" w:ascii="Times New Roman" w:hAnsi="Times New Roman" w:eastAsia="宋体" w:cs="Times New Roman"/>
          <w:sz w:val="22"/>
          <w:szCs w:val="22"/>
        </w:rPr>
      </w:pPr>
      <w:bookmarkStart w:id="35" w:name="_Toc30553"/>
      <w:bookmarkStart w:id="36" w:name="_Toc3868"/>
      <w:r>
        <w:rPr>
          <w:rFonts w:hint="eastAsia" w:cs="Times New Roman"/>
          <w:sz w:val="22"/>
          <w:szCs w:val="22"/>
          <w:lang w:val="en-US" w:eastAsia="zh-CN"/>
        </w:rPr>
        <w:t xml:space="preserve">5.4.2 </w:t>
      </w:r>
      <w:r>
        <w:rPr>
          <w:rFonts w:hint="eastAsia" w:ascii="Times New Roman" w:hAnsi="Times New Roman" w:eastAsia="宋体" w:cs="Times New Roman"/>
          <w:sz w:val="22"/>
          <w:szCs w:val="22"/>
        </w:rPr>
        <w:t>随机森林分类结果</w:t>
      </w:r>
      <w:bookmarkEnd w:id="35"/>
      <w:bookmarkEnd w:id="36"/>
    </w:p>
    <w:p w14:paraId="1EF1ABBD">
      <w:pPr>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折交叉验证：</w:t>
      </w:r>
    </w:p>
    <w:p w14:paraId="1A3E72A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AUC=1.0000，ACC=0.9960</w:t>
      </w:r>
    </w:p>
    <w:p w14:paraId="71483D8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前4个特征累积重要性达80%</w:t>
      </w:r>
    </w:p>
    <w:p w14:paraId="6A0DFC5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前12个特征累积重要性达95%</w:t>
      </w:r>
    </w:p>
    <w:p w14:paraId="3E5D8500">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Top5 重要性排序：</w:t>
      </w:r>
    </w:p>
    <w:p w14:paraId="1D418F6C">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2</w:t>
      </w:r>
      <w:r>
        <w:rPr>
          <w:rFonts w:hint="eastAsia" w:ascii="Times New Roman" w:hAnsi="Times New Roman" w:eastAsia="宋体" w:cs="Times New Roman"/>
          <w:sz w:val="20"/>
          <w:szCs w:val="20"/>
        </w:rPr>
        <w:t xml:space="preserve"> 随机森林模型特征重要性排序及累积占比（高血脂发病风险预警）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22B8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12" w:space="0"/>
              <w:left w:val="nil"/>
              <w:bottom w:val="single" w:color="000000" w:sz="4" w:space="0"/>
              <w:right w:val="nil"/>
              <w:tl2br w:val="nil"/>
            </w:tcBorders>
            <w:shd w:val="clear" w:color="auto" w:fill="FFFFFF"/>
            <w:vAlign w:val="center"/>
          </w:tcPr>
          <w:p w14:paraId="6D545391">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3095" w:type="dxa"/>
            <w:tcBorders>
              <w:top w:val="single" w:color="000000" w:sz="12" w:space="0"/>
              <w:left w:val="nil"/>
              <w:bottom w:val="single" w:color="000000" w:sz="4" w:space="0"/>
              <w:right w:val="nil"/>
            </w:tcBorders>
            <w:shd w:val="clear" w:color="auto" w:fill="FFFFFF"/>
            <w:vAlign w:val="center"/>
          </w:tcPr>
          <w:p w14:paraId="2D42AB9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重要性</w:t>
            </w:r>
          </w:p>
        </w:tc>
        <w:tc>
          <w:tcPr>
            <w:tcW w:w="3096" w:type="dxa"/>
            <w:tcBorders>
              <w:top w:val="single" w:color="000000" w:sz="12" w:space="0"/>
              <w:left w:val="nil"/>
              <w:bottom w:val="single" w:color="000000" w:sz="4" w:space="0"/>
              <w:right w:val="nil"/>
            </w:tcBorders>
            <w:shd w:val="clear" w:color="auto" w:fill="FFFFFF"/>
            <w:vAlign w:val="center"/>
          </w:tcPr>
          <w:p w14:paraId="3AF12C17">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累积</w:t>
            </w:r>
          </w:p>
        </w:tc>
      </w:tr>
      <w:tr w14:paraId="21F4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5" w:type="dxa"/>
            <w:tcBorders>
              <w:top w:val="single" w:color="000000" w:sz="4" w:space="0"/>
              <w:left w:val="nil"/>
              <w:bottom w:val="nil"/>
              <w:right w:val="nil"/>
            </w:tcBorders>
            <w:shd w:val="clear" w:color="auto" w:fill="FFFFFF"/>
            <w:vAlign w:val="center"/>
          </w:tcPr>
          <w:p w14:paraId="054B2AB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TG甘油三酯</w:t>
            </w:r>
          </w:p>
        </w:tc>
        <w:tc>
          <w:tcPr>
            <w:tcW w:w="3095" w:type="dxa"/>
            <w:tcBorders>
              <w:top w:val="single" w:color="000000" w:sz="4" w:space="0"/>
              <w:left w:val="nil"/>
              <w:bottom w:val="nil"/>
              <w:right w:val="nil"/>
            </w:tcBorders>
            <w:shd w:val="clear" w:color="auto" w:fill="FFFFFF"/>
            <w:vAlign w:val="center"/>
          </w:tcPr>
          <w:p w14:paraId="2F14211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0.3375</w:t>
            </w:r>
          </w:p>
        </w:tc>
        <w:tc>
          <w:tcPr>
            <w:tcW w:w="3096" w:type="dxa"/>
            <w:tcBorders>
              <w:top w:val="single" w:color="000000" w:sz="4" w:space="0"/>
              <w:left w:val="nil"/>
              <w:bottom w:val="nil"/>
              <w:right w:val="nil"/>
            </w:tcBorders>
            <w:shd w:val="clear" w:color="auto" w:fill="FFFFFF"/>
            <w:vAlign w:val="center"/>
          </w:tcPr>
          <w:p w14:paraId="4BF86D0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0.3375</w:t>
            </w:r>
          </w:p>
        </w:tc>
      </w:tr>
      <w:tr w14:paraId="1234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71DFFED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TC总胆固醇</w:t>
            </w:r>
          </w:p>
        </w:tc>
        <w:tc>
          <w:tcPr>
            <w:tcW w:w="3095" w:type="dxa"/>
            <w:tcBorders>
              <w:top w:val="nil"/>
              <w:left w:val="nil"/>
              <w:bottom w:val="nil"/>
              <w:right w:val="nil"/>
            </w:tcBorders>
            <w:shd w:val="clear" w:color="auto" w:fill="FFFFFF"/>
            <w:vAlign w:val="center"/>
          </w:tcPr>
          <w:p w14:paraId="5FA6B30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0.2911</w:t>
            </w:r>
          </w:p>
        </w:tc>
        <w:tc>
          <w:tcPr>
            <w:tcW w:w="3096" w:type="dxa"/>
            <w:tcBorders>
              <w:top w:val="nil"/>
              <w:left w:val="nil"/>
              <w:bottom w:val="nil"/>
              <w:right w:val="nil"/>
            </w:tcBorders>
            <w:shd w:val="clear" w:color="auto" w:fill="FFFFFF"/>
            <w:vAlign w:val="center"/>
          </w:tcPr>
          <w:p w14:paraId="378DAAA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0.6286</w:t>
            </w:r>
          </w:p>
        </w:tc>
      </w:tr>
      <w:tr w14:paraId="7546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5F5747B7">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血尿酸</w:t>
            </w:r>
          </w:p>
        </w:tc>
        <w:tc>
          <w:tcPr>
            <w:tcW w:w="3095" w:type="dxa"/>
            <w:tcBorders>
              <w:top w:val="nil"/>
              <w:left w:val="nil"/>
              <w:bottom w:val="nil"/>
              <w:right w:val="nil"/>
            </w:tcBorders>
            <w:shd w:val="clear" w:color="auto" w:fill="FFFFFF"/>
            <w:vAlign w:val="center"/>
          </w:tcPr>
          <w:p w14:paraId="6737B82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0.1563</w:t>
            </w:r>
          </w:p>
        </w:tc>
        <w:tc>
          <w:tcPr>
            <w:tcW w:w="3096" w:type="dxa"/>
            <w:tcBorders>
              <w:top w:val="nil"/>
              <w:left w:val="nil"/>
              <w:bottom w:val="nil"/>
              <w:right w:val="nil"/>
            </w:tcBorders>
            <w:shd w:val="clear" w:color="auto" w:fill="FFFFFF"/>
            <w:vAlign w:val="center"/>
          </w:tcPr>
          <w:p w14:paraId="48C6ED3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0.7849</w:t>
            </w:r>
          </w:p>
        </w:tc>
      </w:tr>
      <w:tr w14:paraId="7D53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64D2FDF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LDL-C</w:t>
            </w:r>
          </w:p>
        </w:tc>
        <w:tc>
          <w:tcPr>
            <w:tcW w:w="3095" w:type="dxa"/>
            <w:tcBorders>
              <w:top w:val="nil"/>
              <w:left w:val="nil"/>
              <w:bottom w:val="nil"/>
              <w:right w:val="nil"/>
            </w:tcBorders>
            <w:shd w:val="clear" w:color="auto" w:fill="FFFFFF"/>
            <w:vAlign w:val="center"/>
          </w:tcPr>
          <w:p w14:paraId="01A4676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0.0672</w:t>
            </w:r>
          </w:p>
        </w:tc>
        <w:tc>
          <w:tcPr>
            <w:tcW w:w="3096" w:type="dxa"/>
            <w:tcBorders>
              <w:top w:val="nil"/>
              <w:left w:val="nil"/>
              <w:bottom w:val="nil"/>
              <w:right w:val="nil"/>
            </w:tcBorders>
            <w:shd w:val="clear" w:color="auto" w:fill="FFFFFF"/>
            <w:vAlign w:val="center"/>
          </w:tcPr>
          <w:p w14:paraId="6C34990B">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0.8521</w:t>
            </w:r>
          </w:p>
        </w:tc>
      </w:tr>
      <w:tr w14:paraId="1187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19328C1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HDL-C</w:t>
            </w:r>
          </w:p>
        </w:tc>
        <w:tc>
          <w:tcPr>
            <w:tcW w:w="3095" w:type="dxa"/>
            <w:tcBorders>
              <w:top w:val="nil"/>
              <w:left w:val="nil"/>
              <w:bottom w:val="single" w:color="000000" w:sz="12" w:space="0"/>
              <w:right w:val="nil"/>
            </w:tcBorders>
            <w:shd w:val="clear" w:color="auto" w:fill="FFFFFF"/>
            <w:vAlign w:val="center"/>
          </w:tcPr>
          <w:p w14:paraId="1C1C003B">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0.0494</w:t>
            </w:r>
          </w:p>
        </w:tc>
        <w:tc>
          <w:tcPr>
            <w:tcW w:w="3096" w:type="dxa"/>
            <w:tcBorders>
              <w:top w:val="nil"/>
              <w:left w:val="nil"/>
              <w:bottom w:val="single" w:color="000000" w:sz="12" w:space="0"/>
              <w:right w:val="nil"/>
            </w:tcBorders>
            <w:shd w:val="clear" w:color="auto" w:fill="FFFFFF"/>
            <w:vAlign w:val="center"/>
          </w:tcPr>
          <w:p w14:paraId="5BBC85C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0.9015</w:t>
            </w:r>
          </w:p>
        </w:tc>
      </w:tr>
    </w:tbl>
    <w:p w14:paraId="04401F6A">
      <w:pPr>
        <w:ind w:firstLine="440" w:firstLineChars="200"/>
        <w:rPr>
          <w:rFonts w:hint="eastAsia" w:ascii="Times New Roman" w:hAnsi="Times New Roman" w:eastAsia="宋体" w:cs="Times New Roman"/>
          <w:sz w:val="22"/>
          <w:szCs w:val="22"/>
        </w:rPr>
      </w:pPr>
    </w:p>
    <w:p w14:paraId="0B6F8868">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7D1960EB">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血脂四项占据最重要位置，与临床高血脂诊断标准完全一致，验证模型有效性；</w:t>
      </w:r>
    </w:p>
    <w:p w14:paraId="114977B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血尿酸排名第三，提示代谢紊乱与高血脂风险高度关联；</w:t>
      </w:r>
    </w:p>
    <w:p w14:paraId="44E929FD">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活动量表指标重要性均低</w:t>
      </w:r>
      <w:r>
        <w:rPr>
          <w:rFonts w:hint="eastAsia" w:ascii="Times New Roman" w:hAnsi="Times New Roman" w:eastAsia="宋体" w:cs="Times New Roman"/>
          <w:sz w:val="22"/>
          <w:szCs w:val="22"/>
          <w:lang w:val="en-US" w:eastAsia="zh-CN"/>
        </w:rPr>
        <w:t>于</w:t>
      </w:r>
      <w:r>
        <w:rPr>
          <w:rFonts w:hint="eastAsia" w:ascii="Times New Roman" w:hAnsi="Times New Roman" w:eastAsia="宋体" w:cs="Times New Roman"/>
          <w:sz w:val="22"/>
          <w:szCs w:val="22"/>
        </w:rPr>
        <w:t>0.01，说明活动能力对高血脂直接预警作用较弱。</w:t>
      </w:r>
    </w:p>
    <w:p w14:paraId="779C8D70">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drawing>
          <wp:inline distT="0" distB="0" distL="114300" distR="114300">
            <wp:extent cx="5751830" cy="3285490"/>
            <wp:effectExtent l="0" t="0" r="8890" b="6350"/>
            <wp:docPr id="2" name="图片 2" descr="rf_resul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f_results(1)"/>
                    <pic:cNvPicPr>
                      <a:picLocks noChangeAspect="1"/>
                    </pic:cNvPicPr>
                  </pic:nvPicPr>
                  <pic:blipFill>
                    <a:blip r:embed="rId9"/>
                    <a:stretch>
                      <a:fillRect/>
                    </a:stretch>
                  </pic:blipFill>
                  <pic:spPr>
                    <a:xfrm>
                      <a:off x="0" y="0"/>
                      <a:ext cx="5751830" cy="3285490"/>
                    </a:xfrm>
                    <a:prstGeom prst="rect">
                      <a:avLst/>
                    </a:prstGeom>
                  </pic:spPr>
                </pic:pic>
              </a:graphicData>
            </a:graphic>
          </wp:inline>
        </w:drawing>
      </w:r>
      <w:r>
        <w:rPr>
          <w:rFonts w:hint="eastAsia" w:ascii="Times New Roman" w:hAnsi="Times New Roman" w:eastAsia="宋体" w:cs="Times New Roman"/>
          <w:sz w:val="20"/>
          <w:szCs w:val="20"/>
        </w:rPr>
        <w:t>图</w:t>
      </w:r>
      <w:r>
        <w:rPr>
          <w:rFonts w:hint="eastAsia" w:cs="Times New Roman"/>
          <w:sz w:val="20"/>
          <w:szCs w:val="20"/>
          <w:lang w:val="en-US" w:eastAsia="zh-CN"/>
        </w:rPr>
        <w:t>3</w:t>
      </w:r>
      <w:r>
        <w:rPr>
          <w:rFonts w:hint="eastAsia" w:ascii="Times New Roman" w:hAnsi="Times New Roman" w:eastAsia="宋体" w:cs="Times New Roman"/>
          <w:sz w:val="20"/>
          <w:szCs w:val="20"/>
        </w:rPr>
        <w:t xml:space="preserve"> 高血脂风险预警指标特征重要性</w:t>
      </w:r>
    </w:p>
    <w:p w14:paraId="680322DC">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910" cy="4952365"/>
            <wp:effectExtent l="0" t="0" r="3810" b="635"/>
            <wp:docPr id="5" name="图片 5" descr="rf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f_results"/>
                    <pic:cNvPicPr>
                      <a:picLocks noChangeAspect="1"/>
                    </pic:cNvPicPr>
                  </pic:nvPicPr>
                  <pic:blipFill>
                    <a:blip r:embed="rId10"/>
                    <a:stretch>
                      <a:fillRect/>
                    </a:stretch>
                  </pic:blipFill>
                  <pic:spPr>
                    <a:xfrm>
                      <a:off x="0" y="0"/>
                      <a:ext cx="5756910" cy="4952365"/>
                    </a:xfrm>
                    <a:prstGeom prst="rect">
                      <a:avLst/>
                    </a:prstGeom>
                  </pic:spPr>
                </pic:pic>
              </a:graphicData>
            </a:graphic>
          </wp:inline>
        </w:drawing>
      </w:r>
    </w:p>
    <w:p w14:paraId="4E6A0098">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4</w:t>
      </w:r>
      <w:r>
        <w:rPr>
          <w:rFonts w:hint="eastAsia" w:ascii="Times New Roman" w:hAnsi="Times New Roman" w:eastAsia="宋体" w:cs="Times New Roman"/>
          <w:sz w:val="20"/>
          <w:szCs w:val="20"/>
        </w:rPr>
        <w:t xml:space="preserve"> 随机森林特征重要性累积占比曲线</w:t>
      </w:r>
    </w:p>
    <w:p w14:paraId="7698705F">
      <w:pPr>
        <w:outlineLvl w:val="2"/>
        <w:rPr>
          <w:rFonts w:hint="eastAsia" w:ascii="Times New Roman" w:hAnsi="Times New Roman" w:eastAsia="宋体" w:cs="Times New Roman"/>
          <w:sz w:val="22"/>
          <w:szCs w:val="22"/>
        </w:rPr>
      </w:pPr>
      <w:bookmarkStart w:id="37" w:name="_Toc1204"/>
      <w:bookmarkStart w:id="38" w:name="_Toc10887"/>
      <w:r>
        <w:rPr>
          <w:rFonts w:hint="eastAsia" w:cs="Times New Roman"/>
          <w:sz w:val="22"/>
          <w:szCs w:val="22"/>
          <w:lang w:val="en-US" w:eastAsia="zh-CN"/>
        </w:rPr>
        <w:t xml:space="preserve">5.4.3 </w:t>
      </w:r>
      <w:r>
        <w:rPr>
          <w:rFonts w:hint="eastAsia" w:ascii="Times New Roman" w:hAnsi="Times New Roman" w:eastAsia="宋体" w:cs="Times New Roman"/>
          <w:sz w:val="22"/>
          <w:szCs w:val="22"/>
        </w:rPr>
        <w:t>综合筛选结果</w:t>
      </w:r>
      <w:bookmarkEnd w:id="37"/>
      <w:bookmarkEnd w:id="38"/>
    </w:p>
    <w:p w14:paraId="4FDC5988">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t>综合得分 Top5：</w:t>
      </w:r>
    </w:p>
    <w:p w14:paraId="3C931535">
      <w:pPr>
        <w:rPr>
          <w:rFonts w:hint="eastAsia" w:ascii="Times New Roman" w:hAnsi="Times New Roman" w:eastAsia="宋体" w:cs="Times New Roman"/>
          <w:sz w:val="20"/>
          <w:szCs w:val="20"/>
        </w:rPr>
      </w:pPr>
      <w:r>
        <w:rPr>
          <w:rFonts w:hint="eastAsia" w:cs="Times New Roman"/>
          <w:sz w:val="20"/>
          <w:szCs w:val="20"/>
          <w:lang w:val="en-US" w:eastAsia="zh-CN"/>
        </w:rPr>
        <w:t>表</w:t>
      </w:r>
      <w:r>
        <w:rPr>
          <w:rFonts w:hint="eastAsia" w:ascii="Times New Roman" w:hAnsi="Times New Roman" w:eastAsia="宋体" w:cs="Times New Roman"/>
          <w:sz w:val="20"/>
          <w:szCs w:val="20"/>
          <w:lang w:val="en-US" w:eastAsia="zh-CN"/>
        </w:rPr>
        <w:t xml:space="preserve">3 </w:t>
      </w:r>
      <w:r>
        <w:rPr>
          <w:rFonts w:hint="eastAsia" w:ascii="Times New Roman" w:hAnsi="Times New Roman" w:eastAsia="宋体" w:cs="Times New Roman"/>
          <w:sz w:val="20"/>
          <w:szCs w:val="20"/>
        </w:rPr>
        <w:t>双模型综合筛选关键指标及意义</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2"/>
        <w:gridCol w:w="1960"/>
        <w:gridCol w:w="4854"/>
      </w:tblGrid>
      <w:tr w14:paraId="4FFA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single" w:color="000000" w:sz="12" w:space="0"/>
              <w:left w:val="nil"/>
              <w:bottom w:val="single" w:color="000000" w:sz="4" w:space="0"/>
              <w:right w:val="nil"/>
              <w:tl2br w:val="nil"/>
            </w:tcBorders>
            <w:shd w:val="clear" w:color="auto" w:fill="FFFFFF"/>
            <w:vAlign w:val="center"/>
          </w:tcPr>
          <w:p w14:paraId="603B087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1960" w:type="dxa"/>
            <w:tcBorders>
              <w:top w:val="single" w:color="000000" w:sz="12" w:space="0"/>
              <w:left w:val="nil"/>
              <w:bottom w:val="single" w:color="000000" w:sz="4" w:space="0"/>
              <w:right w:val="nil"/>
            </w:tcBorders>
            <w:shd w:val="clear" w:color="auto" w:fill="FFFFFF"/>
            <w:vAlign w:val="center"/>
          </w:tcPr>
          <w:p w14:paraId="07D6DAB0">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综合重要性得分</w:t>
            </w:r>
          </w:p>
        </w:tc>
        <w:tc>
          <w:tcPr>
            <w:tcW w:w="4854" w:type="dxa"/>
            <w:tcBorders>
              <w:top w:val="single" w:color="000000" w:sz="12" w:space="0"/>
              <w:left w:val="nil"/>
              <w:bottom w:val="single" w:color="000000" w:sz="4" w:space="0"/>
              <w:right w:val="nil"/>
            </w:tcBorders>
            <w:shd w:val="clear" w:color="auto" w:fill="FFFFFF"/>
            <w:vAlign w:val="center"/>
          </w:tcPr>
          <w:p w14:paraId="3C24EB77">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说明</w:t>
            </w:r>
          </w:p>
        </w:tc>
      </w:tr>
      <w:tr w14:paraId="31C6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single" w:color="000000" w:sz="4" w:space="0"/>
              <w:left w:val="nil"/>
              <w:bottom w:val="nil"/>
              <w:right w:val="nil"/>
            </w:tcBorders>
            <w:shd w:val="clear" w:color="auto" w:fill="FFFFFF"/>
            <w:vAlign w:val="center"/>
          </w:tcPr>
          <w:p w14:paraId="4D34524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TC 总胆固醇</w:t>
            </w:r>
          </w:p>
        </w:tc>
        <w:tc>
          <w:tcPr>
            <w:tcW w:w="1960" w:type="dxa"/>
            <w:tcBorders>
              <w:top w:val="single" w:color="000000" w:sz="4" w:space="0"/>
              <w:left w:val="nil"/>
              <w:bottom w:val="nil"/>
              <w:right w:val="nil"/>
            </w:tcBorders>
            <w:shd w:val="clear" w:color="auto" w:fill="FFFFFF"/>
            <w:vAlign w:val="center"/>
          </w:tcPr>
          <w:p w14:paraId="75C7C2C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0.4550</w:t>
            </w:r>
          </w:p>
        </w:tc>
        <w:tc>
          <w:tcPr>
            <w:tcW w:w="4854" w:type="dxa"/>
            <w:tcBorders>
              <w:top w:val="single" w:color="000000" w:sz="4" w:space="0"/>
              <w:left w:val="nil"/>
              <w:bottom w:val="nil"/>
              <w:right w:val="nil"/>
            </w:tcBorders>
            <w:shd w:val="clear" w:color="auto" w:fill="FFFFFF"/>
            <w:vAlign w:val="center"/>
          </w:tcPr>
          <w:p w14:paraId="0E911865">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综合得分最高，同时是痰湿体质与高血脂风险的核心指标</w:t>
            </w:r>
          </w:p>
        </w:tc>
      </w:tr>
      <w:tr w14:paraId="1FF6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0DB5229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TG 甘油三酯</w:t>
            </w:r>
          </w:p>
        </w:tc>
        <w:tc>
          <w:tcPr>
            <w:tcW w:w="1960" w:type="dxa"/>
            <w:tcBorders>
              <w:top w:val="nil"/>
              <w:left w:val="nil"/>
              <w:bottom w:val="nil"/>
              <w:right w:val="nil"/>
            </w:tcBorders>
            <w:shd w:val="clear" w:color="auto" w:fill="FFFFFF"/>
            <w:vAlign w:val="center"/>
          </w:tcPr>
          <w:p w14:paraId="73F7CC8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0.3889</w:t>
            </w:r>
          </w:p>
        </w:tc>
        <w:tc>
          <w:tcPr>
            <w:tcW w:w="4854" w:type="dxa"/>
            <w:tcBorders>
              <w:top w:val="nil"/>
              <w:left w:val="nil"/>
              <w:bottom w:val="nil"/>
              <w:right w:val="nil"/>
            </w:tcBorders>
            <w:shd w:val="clear" w:color="auto" w:fill="FFFFFF"/>
            <w:vAlign w:val="center"/>
          </w:tcPr>
          <w:p w14:paraId="3E981241">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高血脂预警能力最强，同时对痰湿体质有一定表征作用</w:t>
            </w:r>
          </w:p>
        </w:tc>
      </w:tr>
      <w:tr w14:paraId="279F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68DB3F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ADL 吃饭</w:t>
            </w:r>
          </w:p>
        </w:tc>
        <w:tc>
          <w:tcPr>
            <w:tcW w:w="1960" w:type="dxa"/>
            <w:tcBorders>
              <w:top w:val="nil"/>
              <w:left w:val="nil"/>
              <w:bottom w:val="nil"/>
              <w:right w:val="nil"/>
            </w:tcBorders>
            <w:shd w:val="clear" w:color="auto" w:fill="FFFFFF"/>
            <w:vAlign w:val="center"/>
          </w:tcPr>
          <w:p w14:paraId="6FF0FDD0">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0.2401</w:t>
            </w:r>
          </w:p>
        </w:tc>
        <w:tc>
          <w:tcPr>
            <w:tcW w:w="4854" w:type="dxa"/>
            <w:tcBorders>
              <w:top w:val="nil"/>
              <w:left w:val="nil"/>
              <w:bottom w:val="nil"/>
              <w:right w:val="nil"/>
            </w:tcBorders>
            <w:shd w:val="clear" w:color="auto" w:fill="FFFFFF"/>
            <w:vAlign w:val="center"/>
          </w:tcPr>
          <w:p w14:paraId="09AE0DE0">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主要表征痰湿体质，对高血脂的直接预警作用较弱</w:t>
            </w:r>
          </w:p>
        </w:tc>
      </w:tr>
      <w:tr w14:paraId="15FB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00CAB62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血尿酸</w:t>
            </w:r>
          </w:p>
        </w:tc>
        <w:tc>
          <w:tcPr>
            <w:tcW w:w="1960" w:type="dxa"/>
            <w:tcBorders>
              <w:top w:val="nil"/>
              <w:left w:val="nil"/>
              <w:bottom w:val="nil"/>
              <w:right w:val="nil"/>
            </w:tcBorders>
            <w:shd w:val="clear" w:color="auto" w:fill="FFFFFF"/>
            <w:vAlign w:val="center"/>
          </w:tcPr>
          <w:p w14:paraId="45A7FF6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0.1563</w:t>
            </w:r>
          </w:p>
        </w:tc>
        <w:tc>
          <w:tcPr>
            <w:tcW w:w="4854" w:type="dxa"/>
            <w:tcBorders>
              <w:top w:val="nil"/>
              <w:left w:val="nil"/>
              <w:bottom w:val="nil"/>
              <w:right w:val="nil"/>
            </w:tcBorders>
            <w:shd w:val="clear" w:color="auto" w:fill="FFFFFF"/>
            <w:vAlign w:val="center"/>
          </w:tcPr>
          <w:p w14:paraId="6E1511FF">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反映整体代谢水平，对高血脂风险有一定预测价值</w:t>
            </w:r>
          </w:p>
        </w:tc>
      </w:tr>
      <w:tr w14:paraId="4676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single" w:color="000000" w:sz="12" w:space="0"/>
              <w:right w:val="nil"/>
            </w:tcBorders>
            <w:shd w:val="clear" w:color="auto" w:fill="FFFFFF"/>
            <w:vAlign w:val="center"/>
          </w:tcPr>
          <w:p w14:paraId="4D61201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LDL-C 低密度脂蛋白</w:t>
            </w:r>
          </w:p>
        </w:tc>
        <w:tc>
          <w:tcPr>
            <w:tcW w:w="1960" w:type="dxa"/>
            <w:tcBorders>
              <w:top w:val="nil"/>
              <w:left w:val="nil"/>
              <w:bottom w:val="single" w:color="000000" w:sz="12" w:space="0"/>
              <w:right w:val="nil"/>
            </w:tcBorders>
            <w:shd w:val="clear" w:color="auto" w:fill="FFFFFF"/>
            <w:vAlign w:val="center"/>
          </w:tcPr>
          <w:p w14:paraId="52E1FEE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0.1358</w:t>
            </w:r>
          </w:p>
        </w:tc>
        <w:tc>
          <w:tcPr>
            <w:tcW w:w="4854" w:type="dxa"/>
            <w:tcBorders>
              <w:top w:val="nil"/>
              <w:left w:val="nil"/>
              <w:bottom w:val="single" w:color="000000" w:sz="12" w:space="0"/>
              <w:right w:val="nil"/>
            </w:tcBorders>
            <w:shd w:val="clear" w:color="auto" w:fill="FFFFFF"/>
            <w:vAlign w:val="center"/>
          </w:tcPr>
          <w:p w14:paraId="26A14626">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血脂核心指标，对痰湿体质与高血脂均有一定贡献</w:t>
            </w:r>
          </w:p>
        </w:tc>
      </w:tr>
    </w:tbl>
    <w:p w14:paraId="3802252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最终共同关键指标（5 项，均为血常规）：</w:t>
      </w:r>
    </w:p>
    <w:p w14:paraId="162EC5B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TC（总胆固醇）</w:t>
      </w:r>
    </w:p>
    <w:p w14:paraId="4503696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LDL-C（低密度脂蛋白）</w:t>
      </w:r>
    </w:p>
    <w:p w14:paraId="3FFB67B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TG（甘油三酯）</w:t>
      </w:r>
    </w:p>
    <w:p w14:paraId="254551E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空腹血糖</w:t>
      </w:r>
    </w:p>
    <w:p w14:paraId="16B569E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HDL-C（高密度脂蛋白）</w:t>
      </w:r>
    </w:p>
    <w:p w14:paraId="76D298F2">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7731B30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5项指标均来自血常规，说明血脂与血糖是连接痰湿体质与高血脂的核心生物学基础；</w:t>
      </w:r>
    </w:p>
    <w:p w14:paraId="4D36F9EF">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活动量表仅在 LASSO 中入选，提示其作用为间接调理痰湿，而非直接预警高血脂；</w:t>
      </w:r>
    </w:p>
    <w:p w14:paraId="6D0D7A3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筛选结果实现中西医结合：西医指标可量化风险，中医体质可指导早期干预。</w:t>
      </w:r>
    </w:p>
    <w:p w14:paraId="5E74A3F6">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4</w:t>
      </w:r>
      <w:r>
        <w:rPr>
          <w:rFonts w:hint="eastAsia" w:ascii="Times New Roman" w:hAnsi="Times New Roman" w:eastAsia="宋体" w:cs="Times New Roman"/>
          <w:sz w:val="20"/>
          <w:szCs w:val="20"/>
        </w:rPr>
        <w:t xml:space="preserve"> 关键指标的双模型验证结果（LASSO + 随机森林）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1839"/>
        <w:gridCol w:w="2322"/>
        <w:gridCol w:w="2322"/>
      </w:tblGrid>
      <w:tr w14:paraId="586D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03" w:type="dxa"/>
            <w:tcBorders>
              <w:top w:val="single" w:color="000000" w:sz="12" w:space="0"/>
              <w:left w:val="nil"/>
              <w:bottom w:val="single" w:color="000000" w:sz="4" w:space="0"/>
              <w:right w:val="nil"/>
              <w:tl2br w:val="nil"/>
            </w:tcBorders>
            <w:shd w:val="clear" w:color="auto" w:fill="FFFFFF"/>
            <w:vAlign w:val="center"/>
          </w:tcPr>
          <w:p w14:paraId="7A5A3211">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1839" w:type="dxa"/>
            <w:tcBorders>
              <w:top w:val="single" w:color="000000" w:sz="12" w:space="0"/>
              <w:left w:val="nil"/>
              <w:bottom w:val="single" w:color="000000" w:sz="4" w:space="0"/>
              <w:right w:val="nil"/>
            </w:tcBorders>
            <w:shd w:val="clear" w:color="auto" w:fill="FFFFFF"/>
            <w:vAlign w:val="center"/>
          </w:tcPr>
          <w:p w14:paraId="5008E3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类型</w:t>
            </w:r>
          </w:p>
        </w:tc>
        <w:tc>
          <w:tcPr>
            <w:tcW w:w="2322" w:type="dxa"/>
            <w:tcBorders>
              <w:top w:val="single" w:color="000000" w:sz="12" w:space="0"/>
              <w:left w:val="nil"/>
              <w:bottom w:val="single" w:color="000000" w:sz="4" w:space="0"/>
              <w:right w:val="nil"/>
            </w:tcBorders>
            <w:shd w:val="clear" w:color="auto" w:fill="FFFFFF"/>
            <w:vAlign w:val="center"/>
          </w:tcPr>
          <w:p w14:paraId="2EB79C7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LASSO方向</w:t>
            </w:r>
          </w:p>
        </w:tc>
        <w:tc>
          <w:tcPr>
            <w:tcW w:w="2322" w:type="dxa"/>
            <w:tcBorders>
              <w:top w:val="single" w:color="000000" w:sz="12" w:space="0"/>
              <w:left w:val="nil"/>
              <w:bottom w:val="single" w:color="000000" w:sz="4" w:space="0"/>
              <w:right w:val="nil"/>
            </w:tcBorders>
            <w:shd w:val="clear" w:color="auto" w:fill="FFFFFF"/>
            <w:vAlign w:val="center"/>
          </w:tcPr>
          <w:p w14:paraId="4A30D37B">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RF重要性排名</w:t>
            </w:r>
          </w:p>
        </w:tc>
      </w:tr>
      <w:tr w14:paraId="2AF4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single" w:color="000000" w:sz="4" w:space="0"/>
              <w:left w:val="nil"/>
              <w:bottom w:val="nil"/>
              <w:right w:val="nil"/>
            </w:tcBorders>
            <w:shd w:val="clear" w:color="auto" w:fill="FFFFFF"/>
            <w:vAlign w:val="center"/>
          </w:tcPr>
          <w:p w14:paraId="74BA792F">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TC（总胆固醇）</w:t>
            </w:r>
          </w:p>
        </w:tc>
        <w:tc>
          <w:tcPr>
            <w:tcW w:w="1839" w:type="dxa"/>
            <w:tcBorders>
              <w:top w:val="single" w:color="000000" w:sz="4" w:space="0"/>
              <w:left w:val="nil"/>
              <w:bottom w:val="nil"/>
              <w:right w:val="nil"/>
            </w:tcBorders>
            <w:shd w:val="clear" w:color="auto" w:fill="FFFFFF"/>
            <w:vAlign w:val="center"/>
          </w:tcPr>
          <w:p w14:paraId="3154768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single" w:color="000000" w:sz="4" w:space="0"/>
              <w:left w:val="nil"/>
              <w:bottom w:val="nil"/>
              <w:right w:val="nil"/>
            </w:tcBorders>
            <w:shd w:val="clear" w:color="auto" w:fill="FFFFFF"/>
            <w:vAlign w:val="center"/>
          </w:tcPr>
          <w:p w14:paraId="5873A8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负向</w:t>
            </w:r>
          </w:p>
        </w:tc>
        <w:tc>
          <w:tcPr>
            <w:tcW w:w="2322" w:type="dxa"/>
            <w:tcBorders>
              <w:top w:val="single" w:color="000000" w:sz="4" w:space="0"/>
              <w:left w:val="nil"/>
              <w:bottom w:val="nil"/>
              <w:right w:val="nil"/>
            </w:tcBorders>
            <w:shd w:val="clear" w:color="auto" w:fill="FFFFFF"/>
            <w:vAlign w:val="center"/>
          </w:tcPr>
          <w:p w14:paraId="0659A20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第2</w:t>
            </w:r>
          </w:p>
        </w:tc>
      </w:tr>
      <w:tr w14:paraId="650D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9DC3A10">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LDL-C（低密度脂蛋白）</w:t>
            </w:r>
          </w:p>
        </w:tc>
        <w:tc>
          <w:tcPr>
            <w:tcW w:w="1839" w:type="dxa"/>
            <w:tcBorders>
              <w:top w:val="nil"/>
              <w:left w:val="nil"/>
              <w:bottom w:val="nil"/>
              <w:right w:val="nil"/>
            </w:tcBorders>
            <w:shd w:val="clear" w:color="auto" w:fill="FFFFFF"/>
            <w:vAlign w:val="center"/>
          </w:tcPr>
          <w:p w14:paraId="447E296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nil"/>
              <w:right w:val="nil"/>
            </w:tcBorders>
            <w:shd w:val="clear" w:color="auto" w:fill="FFFFFF"/>
            <w:vAlign w:val="center"/>
          </w:tcPr>
          <w:p w14:paraId="164BBA8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1F212712">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4</w:t>
            </w:r>
          </w:p>
        </w:tc>
      </w:tr>
      <w:tr w14:paraId="5F0B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39AD3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TG（甘油三酯）</w:t>
            </w:r>
          </w:p>
        </w:tc>
        <w:tc>
          <w:tcPr>
            <w:tcW w:w="1839" w:type="dxa"/>
            <w:tcBorders>
              <w:top w:val="nil"/>
              <w:left w:val="nil"/>
              <w:bottom w:val="nil"/>
              <w:right w:val="nil"/>
            </w:tcBorders>
            <w:shd w:val="clear" w:color="auto" w:fill="FFFFFF"/>
            <w:vAlign w:val="center"/>
          </w:tcPr>
          <w:p w14:paraId="0C8B4F0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血常规</w:t>
            </w:r>
          </w:p>
        </w:tc>
        <w:tc>
          <w:tcPr>
            <w:tcW w:w="2322" w:type="dxa"/>
            <w:tcBorders>
              <w:top w:val="nil"/>
              <w:left w:val="nil"/>
              <w:bottom w:val="nil"/>
              <w:right w:val="nil"/>
            </w:tcBorders>
            <w:shd w:val="clear" w:color="auto" w:fill="FFFFFF"/>
            <w:vAlign w:val="center"/>
          </w:tcPr>
          <w:p w14:paraId="0697509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4AE1EB8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1</w:t>
            </w:r>
          </w:p>
        </w:tc>
      </w:tr>
      <w:tr w14:paraId="1DC5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07EF57B">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空腹血糖</w:t>
            </w:r>
          </w:p>
        </w:tc>
        <w:tc>
          <w:tcPr>
            <w:tcW w:w="1839" w:type="dxa"/>
            <w:tcBorders>
              <w:top w:val="nil"/>
              <w:left w:val="nil"/>
              <w:bottom w:val="nil"/>
              <w:right w:val="nil"/>
            </w:tcBorders>
            <w:shd w:val="clear" w:color="auto" w:fill="FFFFFF"/>
            <w:vAlign w:val="center"/>
          </w:tcPr>
          <w:p w14:paraId="444C622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nil"/>
              <w:right w:val="nil"/>
            </w:tcBorders>
            <w:shd w:val="clear" w:color="auto" w:fill="FFFFFF"/>
            <w:vAlign w:val="center"/>
          </w:tcPr>
          <w:p w14:paraId="14AE6CD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7697E11F">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6</w:t>
            </w:r>
          </w:p>
        </w:tc>
      </w:tr>
      <w:tr w14:paraId="2F31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single" w:color="000000" w:sz="12" w:space="0"/>
              <w:right w:val="nil"/>
            </w:tcBorders>
            <w:shd w:val="clear" w:color="auto" w:fill="FFFFFF"/>
            <w:vAlign w:val="center"/>
          </w:tcPr>
          <w:p w14:paraId="1DA9F88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HDL-C（高密度脂蛋白）</w:t>
            </w:r>
          </w:p>
        </w:tc>
        <w:tc>
          <w:tcPr>
            <w:tcW w:w="1839" w:type="dxa"/>
            <w:tcBorders>
              <w:top w:val="nil"/>
              <w:left w:val="nil"/>
              <w:bottom w:val="single" w:color="000000" w:sz="12" w:space="0"/>
              <w:right w:val="nil"/>
            </w:tcBorders>
            <w:shd w:val="clear" w:color="auto" w:fill="FFFFFF"/>
            <w:vAlign w:val="center"/>
          </w:tcPr>
          <w:p w14:paraId="6C9C126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single" w:color="000000" w:sz="12" w:space="0"/>
              <w:right w:val="nil"/>
            </w:tcBorders>
            <w:shd w:val="clear" w:color="auto" w:fill="FFFFFF"/>
            <w:vAlign w:val="center"/>
          </w:tcPr>
          <w:p w14:paraId="7EAA1E6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single" w:color="000000" w:sz="12" w:space="0"/>
              <w:right w:val="nil"/>
            </w:tcBorders>
            <w:shd w:val="clear" w:color="auto" w:fill="FFFFFF"/>
            <w:vAlign w:val="center"/>
          </w:tcPr>
          <w:p w14:paraId="6203000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5</w:t>
            </w:r>
          </w:p>
        </w:tc>
      </w:tr>
    </w:tbl>
    <w:p w14:paraId="6CE9C77A">
      <w:pPr>
        <w:outlineLvl w:val="1"/>
        <w:rPr>
          <w:rFonts w:hint="eastAsia" w:ascii="Times New Roman" w:hAnsi="Times New Roman" w:eastAsia="宋体" w:cs="Times New Roman"/>
          <w:sz w:val="22"/>
          <w:szCs w:val="22"/>
        </w:rPr>
      </w:pPr>
      <w:bookmarkStart w:id="39" w:name="_Toc3809"/>
      <w:bookmarkStart w:id="40" w:name="_Toc1904"/>
      <w:r>
        <w:rPr>
          <w:rFonts w:hint="eastAsia" w:cs="Times New Roman"/>
          <w:sz w:val="22"/>
          <w:szCs w:val="22"/>
          <w:lang w:val="en-US" w:eastAsia="zh-CN"/>
        </w:rPr>
        <w:t>5.5</w:t>
      </w:r>
      <w:r>
        <w:rPr>
          <w:rFonts w:hint="eastAsia" w:ascii="Times New Roman" w:hAnsi="Times New Roman" w:eastAsia="宋体" w:cs="Times New Roman"/>
          <w:sz w:val="22"/>
          <w:szCs w:val="22"/>
        </w:rPr>
        <w:t xml:space="preserve"> </w:t>
      </w:r>
      <w:r>
        <w:rPr>
          <w:rFonts w:hint="eastAsia" w:cs="Times New Roman"/>
          <w:sz w:val="22"/>
          <w:szCs w:val="22"/>
          <w:lang w:val="en-US" w:eastAsia="zh-CN"/>
        </w:rPr>
        <w:t>问题一第二小问的</w:t>
      </w:r>
      <w:r>
        <w:rPr>
          <w:rFonts w:hint="eastAsia" w:ascii="Times New Roman" w:hAnsi="Times New Roman" w:eastAsia="宋体" w:cs="Times New Roman"/>
          <w:sz w:val="22"/>
          <w:szCs w:val="22"/>
        </w:rPr>
        <w:t>模型建立</w:t>
      </w:r>
      <w:bookmarkEnd w:id="39"/>
      <w:bookmarkEnd w:id="40"/>
    </w:p>
    <w:p w14:paraId="71C4583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以九种体质积分为连续自变量，高血脂二分类标签为因变量，构建多元逻辑回归模型，用于量化各体质对发病风险的独立贡献。</w:t>
      </w:r>
    </w:p>
    <w:p w14:paraId="3BD48590">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模型公式：</w:t>
      </w:r>
    </w:p>
    <w:p w14:paraId="661AFA8B">
      <w:pPr>
        <w:ind w:firstLine="440" w:firstLineChars="200"/>
        <w:rPr>
          <w:rFonts w:hint="default"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P(Y=1|X)=</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r>
                <m:rPr>
                  <m:sty m:val="p"/>
                </m:rPr>
                <w:rPr>
                  <w:rFonts w:hint="default" w:ascii="Times New Roman" w:hAnsi="Times New Roman" w:eastAsia="宋体" w:cs="Times New Roman"/>
                  <w:sz w:val="22"/>
                  <w:szCs w:val="22"/>
                </w:rPr>
                <m:t>1+</m:t>
              </m:r>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e</m:t>
                  </m:r>
                  <m:ctrlPr>
                    <w:rPr>
                      <w:rFonts w:hint="eastAsia" w:ascii="Cambria Math" w:hAnsi="Cambria Math" w:eastAsia="宋体" w:cs="Times New Roman"/>
                      <w:sz w:val="22"/>
                      <w:szCs w:val="22"/>
                    </w:rPr>
                  </m:ctrlPr>
                </m:e>
                <m:sup>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0</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9</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9</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sup>
              </m:sSup>
              <m:ctrlPr>
                <w:rPr>
                  <w:rFonts w:hint="default" w:ascii="Cambria Math" w:hAnsi="Cambria Math" w:eastAsia="宋体" w:cs="Times New Roman"/>
                  <w:sz w:val="22"/>
                  <w:szCs w:val="22"/>
                </w:rPr>
              </m:ctrlPr>
            </m:den>
          </m:f>
        </m:oMath>
      </m:oMathPara>
    </w:p>
    <w:p w14:paraId="2BE797B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优势比（OR 值）：​</w:t>
      </w:r>
    </w:p>
    <w:p w14:paraId="4A9A0E5C">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O</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R</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e</m:t>
              </m:r>
              <m:ctrlPr>
                <w:rPr>
                  <w:rFonts w:hint="eastAsia" w:ascii="Cambria Math" w:hAnsi="Cambria Math" w:eastAsia="宋体" w:cs="Times New Roman"/>
                  <w:sz w:val="22"/>
                  <w:szCs w:val="22"/>
                </w:rPr>
              </m:ctrlPr>
            </m:e>
            <m:sup>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sup>
          </m:sSup>
        </m:oMath>
      </m:oMathPara>
    </w:p>
    <w:p w14:paraId="78B800F9">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OR&gt;1</m:t>
        </m:r>
      </m:oMath>
      <w:r>
        <w:rPr>
          <w:rFonts w:hint="eastAsia" w:ascii="Times New Roman" w:hAnsi="Times New Roman" w:eastAsia="宋体" w:cs="Times New Roman"/>
          <w:sz w:val="22"/>
          <w:szCs w:val="22"/>
        </w:rPr>
        <w:t>：该体质为风险因素，积分越高发病风险越大</w:t>
      </w:r>
    </w:p>
    <w:p w14:paraId="5DD97590">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OR&lt;1</m:t>
        </m:r>
      </m:oMath>
      <w:r>
        <w:rPr>
          <w:rFonts w:hint="eastAsia" w:ascii="Times New Roman" w:hAnsi="Times New Roman" w:eastAsia="宋体" w:cs="Times New Roman"/>
          <w:sz w:val="22"/>
          <w:szCs w:val="22"/>
        </w:rPr>
        <w:t>：该体质为保护因素，积分越高发病风险越低</w:t>
      </w:r>
    </w:p>
    <w:p w14:paraId="00C12088">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OR=1</m:t>
        </m:r>
      </m:oMath>
      <w:r>
        <w:rPr>
          <w:rFonts w:hint="eastAsia" w:ascii="Times New Roman" w:hAnsi="Times New Roman" w:eastAsia="宋体" w:cs="Times New Roman"/>
          <w:sz w:val="22"/>
          <w:szCs w:val="22"/>
        </w:rPr>
        <w:t>：与发病风险无关</w:t>
      </w:r>
    </w:p>
    <w:p w14:paraId="7FB6504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建模前先进行多重共线性检验（VIF），保证回归系数估计稳定可靠。</w:t>
      </w:r>
    </w:p>
    <w:p w14:paraId="7DCFBA8F">
      <w:pPr>
        <w:outlineLvl w:val="1"/>
        <w:rPr>
          <w:rFonts w:hint="eastAsia" w:ascii="Times New Roman" w:hAnsi="Times New Roman" w:eastAsia="宋体" w:cs="Times New Roman"/>
          <w:sz w:val="22"/>
          <w:szCs w:val="22"/>
        </w:rPr>
      </w:pPr>
      <w:bookmarkStart w:id="41" w:name="_Toc2833"/>
      <w:bookmarkStart w:id="42" w:name="_Toc20261"/>
      <w:r>
        <w:rPr>
          <w:rFonts w:hint="eastAsia" w:cs="Times New Roman"/>
          <w:sz w:val="22"/>
          <w:szCs w:val="22"/>
          <w:lang w:val="en-US" w:eastAsia="zh-CN"/>
        </w:rPr>
        <w:t>5.6</w:t>
      </w:r>
      <w:r>
        <w:rPr>
          <w:rFonts w:hint="eastAsia" w:ascii="Times New Roman" w:hAnsi="Times New Roman" w:eastAsia="宋体" w:cs="Times New Roman"/>
          <w:sz w:val="22"/>
          <w:szCs w:val="22"/>
        </w:rPr>
        <w:t xml:space="preserve"> 理论分析</w:t>
      </w:r>
      <w:bookmarkEnd w:id="41"/>
      <w:bookmarkEnd w:id="42"/>
    </w:p>
    <w:p w14:paraId="1CA6F81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逻辑回归是二分类问题的标准方法，OR值具备清晰的临床解释力，适合风险贡献度分析。</w:t>
      </w:r>
    </w:p>
    <w:p w14:paraId="16F67F5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方差膨胀因子（VIF）用于检验自变量间线性相关程度，VIF&gt;10表示存在严重多重共线性，会导致系数失真、标准误膨胀。</w:t>
      </w:r>
    </w:p>
    <w:p w14:paraId="3DAB570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模型整体评价指标（伪R2、AUC、似然比检验）用于判断体质整体对高血脂的预测能力。</w:t>
      </w:r>
    </w:p>
    <w:p w14:paraId="038BFE2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回归系数、OR值、95% CI、P值共同用于判断单一体质的作用方向、强度与统计显著性。</w:t>
      </w:r>
    </w:p>
    <w:p w14:paraId="66EE1AA0">
      <w:pPr>
        <w:outlineLvl w:val="1"/>
        <w:rPr>
          <w:rFonts w:hint="eastAsia" w:ascii="Times New Roman" w:hAnsi="Times New Roman" w:eastAsia="宋体" w:cs="Times New Roman"/>
          <w:sz w:val="22"/>
          <w:szCs w:val="22"/>
        </w:rPr>
      </w:pPr>
      <w:bookmarkStart w:id="43" w:name="_Toc22755"/>
      <w:bookmarkStart w:id="44" w:name="_Toc29195"/>
      <w:r>
        <w:rPr>
          <w:rFonts w:hint="eastAsia" w:cs="Times New Roman"/>
          <w:sz w:val="22"/>
          <w:szCs w:val="22"/>
          <w:lang w:val="en-US" w:eastAsia="zh-CN"/>
        </w:rPr>
        <w:t>5.7</w:t>
      </w:r>
      <w:r>
        <w:rPr>
          <w:rFonts w:hint="eastAsia" w:ascii="Times New Roman" w:hAnsi="Times New Roman" w:eastAsia="宋体" w:cs="Times New Roman"/>
          <w:sz w:val="22"/>
          <w:szCs w:val="22"/>
        </w:rPr>
        <w:t xml:space="preserve"> 实验结果与分析</w:t>
      </w:r>
      <w:bookmarkEnd w:id="43"/>
      <w:bookmarkEnd w:id="44"/>
    </w:p>
    <w:p w14:paraId="42ECFA94">
      <w:pPr>
        <w:outlineLvl w:val="2"/>
        <w:rPr>
          <w:rFonts w:hint="eastAsia" w:ascii="Times New Roman" w:hAnsi="Times New Roman" w:eastAsia="宋体" w:cs="Times New Roman"/>
          <w:sz w:val="22"/>
          <w:szCs w:val="22"/>
        </w:rPr>
      </w:pPr>
      <w:bookmarkStart w:id="45" w:name="_Toc26477"/>
      <w:bookmarkStart w:id="46" w:name="_Toc25734"/>
      <w:r>
        <w:rPr>
          <w:rFonts w:hint="eastAsia" w:cs="Times New Roman"/>
          <w:sz w:val="22"/>
          <w:szCs w:val="22"/>
          <w:lang w:val="en-US" w:eastAsia="zh-CN"/>
        </w:rPr>
        <w:t>5.7</w:t>
      </w:r>
      <w:r>
        <w:rPr>
          <w:rFonts w:hint="eastAsia" w:ascii="Times New Roman" w:hAnsi="Times New Roman" w:eastAsia="宋体" w:cs="Times New Roman"/>
          <w:sz w:val="22"/>
          <w:szCs w:val="22"/>
        </w:rPr>
        <w:t>.1 多重共线性检验（VIF）</w:t>
      </w:r>
      <w:bookmarkEnd w:id="45"/>
      <w:bookmarkEnd w:id="46"/>
    </w:p>
    <w:p w14:paraId="185A7771">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方差膨胀因子计算公式：</w:t>
      </w:r>
    </w:p>
    <w:p w14:paraId="1C48FA8B">
      <w:pPr>
        <w:ind w:firstLine="440" w:firstLineChars="200"/>
        <w:rPr>
          <w:rFonts w:hint="default"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VI</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F</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r>
                <m:rPr>
                  <m:sty m:val="p"/>
                </m:rPr>
                <w:rPr>
                  <w:rFonts w:hint="default" w:ascii="Times New Roman" w:hAnsi="Times New Roman" w:eastAsia="宋体" w:cs="Times New Roman"/>
                  <w:sz w:val="22"/>
                  <w:szCs w:val="22"/>
                </w:rPr>
                <m:t>1−</m:t>
              </m:r>
              <m:sSubSup>
                <m:sSubSupPr>
                  <m:ctrlPr>
                    <w:rPr>
                      <w:rFonts w:hint="default" w:ascii="Cambria Math" w:hAnsi="Cambria Math" w:eastAsia="宋体" w:cs="Times New Roman"/>
                      <w:sz w:val="22"/>
                      <w:szCs w:val="22"/>
                    </w:rPr>
                  </m:ctrlPr>
                </m:sSubSupPr>
                <m:e>
                  <m:r>
                    <m:rPr>
                      <m:sty m:val="p"/>
                    </m:rPr>
                    <w:rPr>
                      <w:rFonts w:hint="default" w:ascii="Times New Roman" w:hAnsi="Times New Roman" w:eastAsia="宋体" w:cs="Times New Roman"/>
                      <w:sz w:val="22"/>
                      <w:szCs w:val="22"/>
                    </w:rPr>
                    <m:t>R</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p>
              </m:sSubSup>
              <m:ctrlPr>
                <w:rPr>
                  <w:rFonts w:hint="default" w:ascii="Cambria Math" w:hAnsi="Cambria Math" w:eastAsia="宋体" w:cs="Times New Roman"/>
                  <w:sz w:val="22"/>
                  <w:szCs w:val="22"/>
                </w:rPr>
              </m:ctrlPr>
            </m:den>
          </m:f>
        </m:oMath>
      </m:oMathPara>
    </w:p>
    <w:p w14:paraId="1085652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检验结果显示：九种体质的 VIF 均远小于 10，最大值仅为1.2095，不存在严重多重共线性，满足多元逻辑回归建模条件。</w:t>
      </w:r>
    </w:p>
    <w:p w14:paraId="4C896A71">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5</w:t>
      </w:r>
      <w:r>
        <w:rPr>
          <w:rFonts w:hint="eastAsia" w:ascii="Times New Roman" w:hAnsi="Times New Roman" w:eastAsia="宋体" w:cs="Times New Roman"/>
          <w:sz w:val="20"/>
          <w:szCs w:val="20"/>
        </w:rPr>
        <w:t xml:space="preserve"> 九种中医体质多重共线性（VIF）检验结果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082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5B6C725C">
            <w:pPr>
              <w:ind w:firstLine="440" w:firstLineChars="200"/>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体质</w:t>
            </w:r>
          </w:p>
        </w:tc>
        <w:tc>
          <w:tcPr>
            <w:tcW w:w="4643" w:type="dxa"/>
            <w:tcBorders>
              <w:top w:val="single" w:color="000000" w:sz="12" w:space="0"/>
              <w:left w:val="nil"/>
              <w:bottom w:val="single" w:color="000000" w:sz="4" w:space="0"/>
              <w:right w:val="nil"/>
            </w:tcBorders>
            <w:shd w:val="clear" w:color="auto" w:fill="FFFFFF"/>
            <w:vAlign w:val="center"/>
          </w:tcPr>
          <w:p w14:paraId="4EBDE6AB">
            <w:pPr>
              <w:ind w:firstLine="440" w:firstLineChars="200"/>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VIF值</w:t>
            </w:r>
          </w:p>
        </w:tc>
      </w:tr>
      <w:tr w14:paraId="5A57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7071CA03">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平和质</w:t>
            </w:r>
          </w:p>
        </w:tc>
        <w:tc>
          <w:tcPr>
            <w:tcW w:w="4643" w:type="dxa"/>
            <w:tcBorders>
              <w:top w:val="single" w:color="000000" w:sz="4" w:space="0"/>
              <w:left w:val="nil"/>
              <w:bottom w:val="nil"/>
              <w:right w:val="nil"/>
            </w:tcBorders>
            <w:shd w:val="clear" w:color="auto" w:fill="FFFFFF"/>
            <w:vAlign w:val="center"/>
          </w:tcPr>
          <w:p w14:paraId="0377B812">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1.209486</w:t>
            </w:r>
          </w:p>
        </w:tc>
      </w:tr>
      <w:tr w14:paraId="71EC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62A6342">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气虚质</w:t>
            </w:r>
          </w:p>
        </w:tc>
        <w:tc>
          <w:tcPr>
            <w:tcW w:w="4643" w:type="dxa"/>
            <w:tcBorders>
              <w:top w:val="nil"/>
              <w:left w:val="nil"/>
              <w:bottom w:val="nil"/>
              <w:right w:val="nil"/>
            </w:tcBorders>
            <w:shd w:val="clear" w:color="auto" w:fill="FFFFFF"/>
            <w:vAlign w:val="center"/>
          </w:tcPr>
          <w:p w14:paraId="438DEF75">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1.037606</w:t>
            </w:r>
          </w:p>
        </w:tc>
      </w:tr>
      <w:tr w14:paraId="5B3F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0B28273">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阳虚质</w:t>
            </w:r>
          </w:p>
        </w:tc>
        <w:tc>
          <w:tcPr>
            <w:tcW w:w="4643" w:type="dxa"/>
            <w:tcBorders>
              <w:top w:val="nil"/>
              <w:left w:val="nil"/>
              <w:bottom w:val="nil"/>
              <w:right w:val="nil"/>
            </w:tcBorders>
            <w:shd w:val="clear" w:color="auto" w:fill="FFFFFF"/>
            <w:vAlign w:val="center"/>
          </w:tcPr>
          <w:p w14:paraId="779DEA8E">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1.034495</w:t>
            </w:r>
          </w:p>
        </w:tc>
      </w:tr>
      <w:tr w14:paraId="2FA0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AA0969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阴虚质</w:t>
            </w:r>
          </w:p>
        </w:tc>
        <w:tc>
          <w:tcPr>
            <w:tcW w:w="4643" w:type="dxa"/>
            <w:tcBorders>
              <w:top w:val="nil"/>
              <w:left w:val="nil"/>
              <w:bottom w:val="nil"/>
              <w:right w:val="nil"/>
            </w:tcBorders>
            <w:shd w:val="clear" w:color="auto" w:fill="FFFFFF"/>
            <w:vAlign w:val="center"/>
          </w:tcPr>
          <w:p w14:paraId="09254F3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1.028831</w:t>
            </w:r>
          </w:p>
        </w:tc>
      </w:tr>
      <w:tr w14:paraId="1492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9DCEC46">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痰湿质</w:t>
            </w:r>
          </w:p>
        </w:tc>
        <w:tc>
          <w:tcPr>
            <w:tcW w:w="4643" w:type="dxa"/>
            <w:tcBorders>
              <w:top w:val="nil"/>
              <w:left w:val="nil"/>
              <w:bottom w:val="nil"/>
              <w:right w:val="nil"/>
            </w:tcBorders>
            <w:shd w:val="clear" w:color="auto" w:fill="FFFFFF"/>
            <w:vAlign w:val="center"/>
          </w:tcPr>
          <w:p w14:paraId="409E074C">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1.056834</w:t>
            </w:r>
          </w:p>
        </w:tc>
      </w:tr>
      <w:tr w14:paraId="7ED9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758E20A">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湿热质</w:t>
            </w:r>
          </w:p>
        </w:tc>
        <w:tc>
          <w:tcPr>
            <w:tcW w:w="4643" w:type="dxa"/>
            <w:tcBorders>
              <w:top w:val="nil"/>
              <w:left w:val="nil"/>
              <w:bottom w:val="nil"/>
              <w:right w:val="nil"/>
            </w:tcBorders>
            <w:shd w:val="clear" w:color="auto" w:fill="FFFFFF"/>
            <w:vAlign w:val="center"/>
          </w:tcPr>
          <w:p w14:paraId="7ED6229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1.034797</w:t>
            </w:r>
          </w:p>
        </w:tc>
      </w:tr>
      <w:tr w14:paraId="7C98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A89608D">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血瘀质</w:t>
            </w:r>
          </w:p>
        </w:tc>
        <w:tc>
          <w:tcPr>
            <w:tcW w:w="4643" w:type="dxa"/>
            <w:tcBorders>
              <w:top w:val="nil"/>
              <w:left w:val="nil"/>
              <w:bottom w:val="nil"/>
              <w:right w:val="nil"/>
            </w:tcBorders>
            <w:shd w:val="clear" w:color="auto" w:fill="FFFFFF"/>
            <w:vAlign w:val="center"/>
          </w:tcPr>
          <w:p w14:paraId="058C58B7">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1.041745</w:t>
            </w:r>
          </w:p>
        </w:tc>
      </w:tr>
      <w:tr w14:paraId="7C45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2276E147">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气郁质</w:t>
            </w:r>
          </w:p>
        </w:tc>
        <w:tc>
          <w:tcPr>
            <w:tcW w:w="4643" w:type="dxa"/>
            <w:tcBorders>
              <w:top w:val="nil"/>
              <w:left w:val="nil"/>
              <w:bottom w:val="nil"/>
              <w:right w:val="nil"/>
            </w:tcBorders>
            <w:shd w:val="clear" w:color="auto" w:fill="FFFFFF"/>
            <w:vAlign w:val="center"/>
          </w:tcPr>
          <w:p w14:paraId="5F289F3F">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1.033761</w:t>
            </w:r>
          </w:p>
        </w:tc>
      </w:tr>
      <w:tr w14:paraId="2BF9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45E8FF19">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特禀质</w:t>
            </w:r>
          </w:p>
        </w:tc>
        <w:tc>
          <w:tcPr>
            <w:tcW w:w="4643" w:type="dxa"/>
            <w:tcBorders>
              <w:top w:val="nil"/>
              <w:left w:val="nil"/>
              <w:bottom w:val="single" w:color="000000" w:sz="12" w:space="0"/>
              <w:right w:val="nil"/>
            </w:tcBorders>
            <w:shd w:val="clear" w:color="auto" w:fill="FFFFFF"/>
            <w:vAlign w:val="center"/>
          </w:tcPr>
          <w:p w14:paraId="45A7E91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1.023754</w:t>
            </w:r>
          </w:p>
        </w:tc>
      </w:tr>
    </w:tbl>
    <w:p w14:paraId="1072DFB3">
      <w:pPr>
        <w:outlineLvl w:val="2"/>
        <w:rPr>
          <w:rFonts w:hint="eastAsia" w:ascii="Times New Roman" w:hAnsi="Times New Roman" w:eastAsia="宋体" w:cs="Times New Roman"/>
          <w:sz w:val="22"/>
          <w:szCs w:val="22"/>
        </w:rPr>
      </w:pPr>
      <w:bookmarkStart w:id="47" w:name="_Toc4487"/>
      <w:bookmarkStart w:id="48" w:name="_Toc9400"/>
      <w:r>
        <w:rPr>
          <w:rFonts w:hint="eastAsia" w:cs="Times New Roman"/>
          <w:sz w:val="22"/>
          <w:szCs w:val="22"/>
          <w:lang w:val="en-US" w:eastAsia="zh-CN"/>
        </w:rPr>
        <w:t>5.7</w:t>
      </w:r>
      <w:r>
        <w:rPr>
          <w:rFonts w:hint="eastAsia" w:ascii="Times New Roman" w:hAnsi="Times New Roman" w:eastAsia="宋体" w:cs="Times New Roman"/>
          <w:sz w:val="22"/>
          <w:szCs w:val="22"/>
        </w:rPr>
        <w:t>.2 模型整体效果评价</w:t>
      </w:r>
      <w:bookmarkEnd w:id="47"/>
      <w:bookmarkEnd w:id="48"/>
    </w:p>
    <w:p w14:paraId="5BE953D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模型拟合结果如下：</w:t>
      </w:r>
    </w:p>
    <w:p w14:paraId="5FF7552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McFadden伪</w:t>
      </w:r>
      <m:oMath>
        <m:sSup>
          <m:sSupPr>
            <m:ctrlPr>
              <w:rPr>
                <w:rFonts w:hint="eastAsia" w:ascii="Cambria Math" w:hAnsi="Times New Roman" w:eastAsia="宋体" w:cs="Times New Roman"/>
                <w:i w:val="0"/>
                <w:sz w:val="22"/>
                <w:szCs w:val="22"/>
              </w:rPr>
            </m:ctrlPr>
          </m:sSupPr>
          <m:e>
            <m:r>
              <m:rPr>
                <m:sty m:val="p"/>
              </m:rPr>
              <w:rPr>
                <w:rFonts w:hint="eastAsia" w:ascii="Cambria Math" w:hAnsi="Cambria Math" w:eastAsia="宋体" w:cs="Times New Roman"/>
                <w:kern w:val="2"/>
                <w:sz w:val="22"/>
                <w:szCs w:val="22"/>
                <w:lang w:val="en-US" w:bidi="ar-SA"/>
              </w:rPr>
              <m:t>R</m:t>
            </m:r>
            <m:ctrlPr>
              <w:rPr>
                <w:rFonts w:hint="eastAsia" w:ascii="Cambria Math" w:hAnsi="Times New Roman" w:eastAsia="宋体" w:cs="Times New Roman"/>
                <w:i w:val="0"/>
                <w:sz w:val="22"/>
                <w:szCs w:val="22"/>
              </w:rPr>
            </m:ctrlPr>
          </m:e>
          <m:sup>
            <m:r>
              <m:rPr>
                <m:sty m:val="p"/>
              </m:rPr>
              <w:rPr>
                <w:rFonts w:hint="default" w:ascii="Cambria Math" w:cs="Times New Roman"/>
                <w:sz w:val="22"/>
                <w:szCs w:val="22"/>
                <w:lang w:val="en-US" w:eastAsia="zh-CN"/>
              </w:rPr>
              <m:t>2</m:t>
            </m:r>
            <m:ctrlPr>
              <w:rPr>
                <w:rFonts w:hint="eastAsia" w:ascii="Cambria Math" w:hAnsi="Times New Roman" w:eastAsia="宋体" w:cs="Times New Roman"/>
                <w:i w:val="0"/>
                <w:sz w:val="22"/>
                <w:szCs w:val="22"/>
              </w:rPr>
            </m:ctrlPr>
          </m:sup>
        </m:sSup>
        <m:r>
          <m:rPr>
            <m:sty m:val="p"/>
          </m:rPr>
          <w:rPr>
            <w:rFonts w:hint="eastAsia" w:ascii="Cambria Math" w:hAnsi="Cambria Math" w:eastAsia="宋体" w:cs="Times New Roman"/>
            <w:kern w:val="2"/>
            <w:sz w:val="22"/>
            <w:szCs w:val="22"/>
            <w:lang w:val="en-US" w:bidi="ar-SA"/>
          </w:rPr>
          <m:t>=0.0042</m:t>
        </m:r>
      </m:oMath>
    </w:p>
    <w:p w14:paraId="5D72DA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AUC=0.5479（接近随机水平0.5）</w:t>
      </w:r>
    </w:p>
    <w:p w14:paraId="038047E2">
      <w:pPr>
        <w:ind w:firstLine="440" w:firstLineChars="200"/>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t>似然比检验</w:t>
      </w:r>
      <m:oMath>
        <m:r>
          <m:rPr>
            <m:sty m:val="p"/>
          </m:rPr>
          <w:rPr>
            <w:rFonts w:hint="eastAsia" w:ascii="Cambria Math" w:hAnsi="Cambria Math" w:eastAsia="宋体" w:cs="Times New Roman"/>
            <w:kern w:val="2"/>
            <w:sz w:val="22"/>
            <w:szCs w:val="22"/>
            <w:lang w:val="en-US" w:bidi="ar-SA"/>
          </w:rPr>
          <m:t>p=0.8899≫0.05</m:t>
        </m:r>
      </m:oMath>
    </w:p>
    <w:p w14:paraId="2C47C54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226AF0AC">
      <w:pPr>
        <w:ind w:firstLine="440" w:firstLineChars="200"/>
        <w:outlineLvl w:val="9"/>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模型整体解释力极低，九种体质无法单独有效预测高血脂发病。</w:t>
      </w:r>
    </w:p>
    <w:p w14:paraId="0EFFCB75">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体质属于宏观中医分型，高血脂受血脂、血糖、代谢、生活方式等微观因素直接驱动。</w:t>
      </w:r>
    </w:p>
    <w:p w14:paraId="0C84CF08">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体质对高血脂的影响以间接作用、中间传导为主，而非直接致病。</w:t>
      </w:r>
    </w:p>
    <w:p w14:paraId="62629AD3">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drawing>
          <wp:inline distT="0" distB="0" distL="114300" distR="114300">
            <wp:extent cx="3775710" cy="3774440"/>
            <wp:effectExtent l="0" t="0" r="3810" b="5080"/>
            <wp:docPr id="6" name="图片 6" descr="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oc_curve"/>
                    <pic:cNvPicPr>
                      <a:picLocks noChangeAspect="1"/>
                    </pic:cNvPicPr>
                  </pic:nvPicPr>
                  <pic:blipFill>
                    <a:blip r:embed="rId11"/>
                    <a:stretch>
                      <a:fillRect/>
                    </a:stretch>
                  </pic:blipFill>
                  <pic:spPr>
                    <a:xfrm>
                      <a:off x="0" y="0"/>
                      <a:ext cx="3775710" cy="3774440"/>
                    </a:xfrm>
                    <a:prstGeom prst="rect">
                      <a:avLst/>
                    </a:prstGeom>
                  </pic:spPr>
                </pic:pic>
              </a:graphicData>
            </a:graphic>
          </wp:inline>
        </w:drawing>
      </w:r>
    </w:p>
    <w:p w14:paraId="3CA7E175">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5</w:t>
      </w:r>
      <w:r>
        <w:rPr>
          <w:rFonts w:hint="eastAsia" w:ascii="Times New Roman" w:hAnsi="Times New Roman" w:eastAsia="宋体" w:cs="Times New Roman"/>
          <w:sz w:val="20"/>
          <w:szCs w:val="20"/>
        </w:rPr>
        <w:t xml:space="preserve"> 九种体质预测高血脂的ROC曲线</w:t>
      </w:r>
    </w:p>
    <w:p w14:paraId="57378D92">
      <w:pPr>
        <w:jc w:val="both"/>
        <w:outlineLvl w:val="2"/>
        <w:rPr>
          <w:rFonts w:hint="eastAsia" w:ascii="Times New Roman" w:hAnsi="Times New Roman" w:eastAsia="宋体" w:cs="Times New Roman"/>
          <w:sz w:val="22"/>
          <w:szCs w:val="22"/>
        </w:rPr>
      </w:pPr>
      <w:bookmarkStart w:id="49" w:name="_Toc6381"/>
      <w:bookmarkStart w:id="50" w:name="_Toc25020"/>
      <w:r>
        <w:rPr>
          <w:rFonts w:hint="eastAsia" w:ascii="Times New Roman" w:hAnsi="Times New Roman" w:eastAsia="宋体" w:cs="Times New Roman"/>
          <w:sz w:val="22"/>
          <w:szCs w:val="22"/>
          <w:lang w:val="en-US" w:eastAsia="zh-CN"/>
        </w:rPr>
        <w:t>5.7.3</w:t>
      </w:r>
      <w:r>
        <w:rPr>
          <w:rFonts w:hint="eastAsia" w:ascii="Times New Roman" w:hAnsi="Times New Roman" w:eastAsia="宋体" w:cs="Times New Roman"/>
          <w:sz w:val="22"/>
          <w:szCs w:val="22"/>
        </w:rPr>
        <w:t xml:space="preserve"> 九种体质贡献度排序与结果分析</w:t>
      </w:r>
      <w:bookmarkEnd w:id="49"/>
      <w:bookmarkEnd w:id="50"/>
    </w:p>
    <w:p w14:paraId="3BC4110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按回归系数绝对值对九种体质贡献度进行排序，所有体质P&gt;0.05，无统计显著性，但影响趋势具有参考价值。</w:t>
      </w:r>
    </w:p>
    <w:p w14:paraId="3EF93034">
      <w:pPr>
        <w:jc w:val="left"/>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6</w:t>
      </w:r>
      <w:r>
        <w:rPr>
          <w:rFonts w:hint="eastAsia" w:ascii="Times New Roman" w:hAnsi="Times New Roman" w:eastAsia="宋体" w:cs="Times New Roman"/>
          <w:sz w:val="20"/>
          <w:szCs w:val="20"/>
        </w:rPr>
        <w:t xml:space="preserve"> 九种体质对高血脂发病风险的贡献度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5409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000000" w:sz="12" w:space="0"/>
              <w:left w:val="nil"/>
              <w:bottom w:val="single" w:color="000000" w:sz="4" w:space="0"/>
              <w:right w:val="nil"/>
              <w:tl2br w:val="nil"/>
            </w:tcBorders>
            <w:shd w:val="clear" w:color="auto" w:fill="FFFFFF"/>
            <w:vAlign w:val="center"/>
          </w:tcPr>
          <w:p w14:paraId="0BF6CA7B">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排名</w:t>
            </w:r>
          </w:p>
        </w:tc>
        <w:tc>
          <w:tcPr>
            <w:tcW w:w="1547" w:type="dxa"/>
            <w:tcBorders>
              <w:top w:val="single" w:color="000000" w:sz="12" w:space="0"/>
              <w:left w:val="nil"/>
              <w:bottom w:val="single" w:color="000000" w:sz="4" w:space="0"/>
              <w:right w:val="nil"/>
            </w:tcBorders>
            <w:shd w:val="clear" w:color="auto" w:fill="FFFFFF"/>
            <w:vAlign w:val="center"/>
          </w:tcPr>
          <w:p w14:paraId="4E97A19D">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体质</w:t>
            </w:r>
          </w:p>
        </w:tc>
        <w:tc>
          <w:tcPr>
            <w:tcW w:w="1548" w:type="dxa"/>
            <w:tcBorders>
              <w:top w:val="single" w:color="000000" w:sz="12" w:space="0"/>
              <w:left w:val="nil"/>
              <w:bottom w:val="single" w:color="000000" w:sz="4" w:space="0"/>
              <w:right w:val="nil"/>
            </w:tcBorders>
            <w:shd w:val="clear" w:color="auto" w:fill="FFFFFF"/>
            <w:vAlign w:val="center"/>
          </w:tcPr>
          <w:p w14:paraId="6FE029C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回归系数</w:t>
            </w:r>
          </w:p>
        </w:tc>
        <w:tc>
          <w:tcPr>
            <w:tcW w:w="1548" w:type="dxa"/>
            <w:tcBorders>
              <w:top w:val="single" w:color="000000" w:sz="12" w:space="0"/>
              <w:left w:val="nil"/>
              <w:bottom w:val="single" w:color="000000" w:sz="4" w:space="0"/>
              <w:right w:val="nil"/>
            </w:tcBorders>
            <w:shd w:val="clear" w:color="auto" w:fill="FFFFFF"/>
            <w:vAlign w:val="center"/>
          </w:tcPr>
          <w:p w14:paraId="12C472B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OR 值</w:t>
            </w:r>
          </w:p>
        </w:tc>
        <w:tc>
          <w:tcPr>
            <w:tcW w:w="1548" w:type="dxa"/>
            <w:tcBorders>
              <w:top w:val="single" w:color="000000" w:sz="12" w:space="0"/>
              <w:left w:val="nil"/>
              <w:bottom w:val="single" w:color="000000" w:sz="4" w:space="0"/>
              <w:right w:val="nil"/>
            </w:tcBorders>
            <w:shd w:val="clear" w:color="auto" w:fill="FFFFFF"/>
            <w:vAlign w:val="center"/>
          </w:tcPr>
          <w:p w14:paraId="1B08CB8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P 值</w:t>
            </w:r>
          </w:p>
        </w:tc>
        <w:tc>
          <w:tcPr>
            <w:tcW w:w="1548" w:type="dxa"/>
            <w:tcBorders>
              <w:top w:val="single" w:color="000000" w:sz="12" w:space="0"/>
              <w:left w:val="nil"/>
              <w:bottom w:val="single" w:color="000000" w:sz="4" w:space="0"/>
              <w:right w:val="nil"/>
            </w:tcBorders>
            <w:shd w:val="clear" w:color="auto" w:fill="FFFFFF"/>
            <w:vAlign w:val="center"/>
          </w:tcPr>
          <w:p w14:paraId="0E0FCC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影响方向</w:t>
            </w:r>
          </w:p>
        </w:tc>
      </w:tr>
      <w:tr w14:paraId="68B8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000000" w:sz="4" w:space="0"/>
              <w:left w:val="nil"/>
              <w:bottom w:val="nil"/>
              <w:right w:val="nil"/>
            </w:tcBorders>
            <w:shd w:val="clear" w:color="auto" w:fill="FFFFFF"/>
            <w:vAlign w:val="center"/>
          </w:tcPr>
          <w:p w14:paraId="6779915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547" w:type="dxa"/>
            <w:tcBorders>
              <w:top w:val="single" w:color="000000" w:sz="4" w:space="0"/>
              <w:left w:val="nil"/>
              <w:bottom w:val="nil"/>
              <w:right w:val="nil"/>
            </w:tcBorders>
            <w:shd w:val="clear" w:color="auto" w:fill="FFFFFF"/>
            <w:vAlign w:val="center"/>
          </w:tcPr>
          <w:p w14:paraId="29B05D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气虚质</w:t>
            </w:r>
          </w:p>
        </w:tc>
        <w:tc>
          <w:tcPr>
            <w:tcW w:w="1548" w:type="dxa"/>
            <w:tcBorders>
              <w:top w:val="single" w:color="000000" w:sz="4" w:space="0"/>
              <w:left w:val="nil"/>
              <w:bottom w:val="nil"/>
              <w:right w:val="nil"/>
            </w:tcBorders>
            <w:shd w:val="clear" w:color="auto" w:fill="FFFFFF"/>
            <w:vAlign w:val="center"/>
          </w:tcPr>
          <w:p w14:paraId="559AFD4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0.4497</w:t>
            </w:r>
          </w:p>
        </w:tc>
        <w:tc>
          <w:tcPr>
            <w:tcW w:w="1548" w:type="dxa"/>
            <w:tcBorders>
              <w:top w:val="single" w:color="000000" w:sz="4" w:space="0"/>
              <w:left w:val="nil"/>
              <w:bottom w:val="nil"/>
              <w:right w:val="nil"/>
            </w:tcBorders>
            <w:shd w:val="clear" w:color="auto" w:fill="FFFFFF"/>
            <w:vAlign w:val="center"/>
          </w:tcPr>
          <w:p w14:paraId="3EDFC40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1.568</w:t>
            </w:r>
          </w:p>
        </w:tc>
        <w:tc>
          <w:tcPr>
            <w:tcW w:w="1548" w:type="dxa"/>
            <w:tcBorders>
              <w:top w:val="single" w:color="000000" w:sz="4" w:space="0"/>
              <w:left w:val="nil"/>
              <w:bottom w:val="nil"/>
              <w:right w:val="nil"/>
            </w:tcBorders>
            <w:shd w:val="clear" w:color="auto" w:fill="FFFFFF"/>
            <w:vAlign w:val="center"/>
          </w:tcPr>
          <w:p w14:paraId="667544A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0.1238</w:t>
            </w:r>
          </w:p>
        </w:tc>
        <w:tc>
          <w:tcPr>
            <w:tcW w:w="1548" w:type="dxa"/>
            <w:tcBorders>
              <w:top w:val="single" w:color="000000" w:sz="4" w:space="0"/>
              <w:left w:val="nil"/>
              <w:bottom w:val="nil"/>
              <w:right w:val="nil"/>
            </w:tcBorders>
            <w:shd w:val="clear" w:color="auto" w:fill="FFFFFF"/>
            <w:vAlign w:val="center"/>
          </w:tcPr>
          <w:p w14:paraId="4EEFC42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2C11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88E8114">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1547" w:type="dxa"/>
            <w:tcBorders>
              <w:top w:val="nil"/>
              <w:left w:val="nil"/>
              <w:bottom w:val="nil"/>
              <w:right w:val="nil"/>
            </w:tcBorders>
            <w:shd w:val="clear" w:color="auto" w:fill="FFFFFF"/>
            <w:vAlign w:val="center"/>
          </w:tcPr>
          <w:p w14:paraId="1C4773B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平和质</w:t>
            </w:r>
          </w:p>
        </w:tc>
        <w:tc>
          <w:tcPr>
            <w:tcW w:w="1548" w:type="dxa"/>
            <w:tcBorders>
              <w:top w:val="nil"/>
              <w:left w:val="nil"/>
              <w:bottom w:val="nil"/>
              <w:right w:val="nil"/>
            </w:tcBorders>
            <w:shd w:val="clear" w:color="auto" w:fill="FFFFFF"/>
            <w:vAlign w:val="center"/>
          </w:tcPr>
          <w:p w14:paraId="09DB277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0.3027</w:t>
            </w:r>
          </w:p>
        </w:tc>
        <w:tc>
          <w:tcPr>
            <w:tcW w:w="1548" w:type="dxa"/>
            <w:tcBorders>
              <w:top w:val="nil"/>
              <w:left w:val="nil"/>
              <w:bottom w:val="nil"/>
              <w:right w:val="nil"/>
            </w:tcBorders>
            <w:shd w:val="clear" w:color="auto" w:fill="FFFFFF"/>
            <w:vAlign w:val="center"/>
          </w:tcPr>
          <w:p w14:paraId="324DB3D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1.354</w:t>
            </w:r>
          </w:p>
        </w:tc>
        <w:tc>
          <w:tcPr>
            <w:tcW w:w="1548" w:type="dxa"/>
            <w:tcBorders>
              <w:top w:val="nil"/>
              <w:left w:val="nil"/>
              <w:bottom w:val="nil"/>
              <w:right w:val="nil"/>
            </w:tcBorders>
            <w:shd w:val="clear" w:color="auto" w:fill="FFFFFF"/>
            <w:vAlign w:val="center"/>
          </w:tcPr>
          <w:p w14:paraId="6B05BB7C">
            <w:pPr>
              <w:jc w:val="center"/>
              <w:rPr>
                <w:rFonts w:hint="default" w:ascii="Times New Roman" w:hAnsi="Times New Roman" w:eastAsia="宋体" w:cs="Times New Roman"/>
                <w:b w:val="0"/>
                <w:color w:val="000000"/>
                <w:sz w:val="22"/>
                <w:szCs w:val="22"/>
                <w:lang w:val="en-US"/>
              </w:rPr>
            </w:pPr>
            <w:r>
              <w:rPr>
                <w:rFonts w:hint="eastAsia" w:ascii="Times New Roman" w:hAnsi="Times New Roman" w:eastAsia="宋体" w:cs="Times New Roman"/>
                <w:b w:val="0"/>
                <w:color w:val="000000"/>
                <w:sz w:val="22"/>
                <w:szCs w:val="22"/>
                <w:lang w:val="en-US" w:eastAsia="zh-CN"/>
              </w:rPr>
              <w:t>0.3400</w:t>
            </w:r>
          </w:p>
        </w:tc>
        <w:tc>
          <w:tcPr>
            <w:tcW w:w="1548" w:type="dxa"/>
            <w:tcBorders>
              <w:top w:val="nil"/>
              <w:left w:val="nil"/>
              <w:bottom w:val="nil"/>
              <w:right w:val="nil"/>
            </w:tcBorders>
            <w:shd w:val="clear" w:color="auto" w:fill="FFFFFF"/>
            <w:vAlign w:val="center"/>
          </w:tcPr>
          <w:p w14:paraId="0BB9D8B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31F4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6755CC3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547" w:type="dxa"/>
            <w:tcBorders>
              <w:top w:val="nil"/>
              <w:left w:val="nil"/>
              <w:bottom w:val="nil"/>
              <w:right w:val="nil"/>
            </w:tcBorders>
            <w:shd w:val="clear" w:color="auto" w:fill="FFFFFF"/>
            <w:vAlign w:val="center"/>
          </w:tcPr>
          <w:p w14:paraId="310730D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湿热质</w:t>
            </w:r>
          </w:p>
        </w:tc>
        <w:tc>
          <w:tcPr>
            <w:tcW w:w="1548" w:type="dxa"/>
            <w:tcBorders>
              <w:top w:val="nil"/>
              <w:left w:val="nil"/>
              <w:bottom w:val="nil"/>
              <w:right w:val="nil"/>
            </w:tcBorders>
            <w:shd w:val="clear" w:color="auto" w:fill="FFFFFF"/>
            <w:vAlign w:val="center"/>
          </w:tcPr>
          <w:p w14:paraId="06B1E17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-0.1892</w:t>
            </w:r>
          </w:p>
        </w:tc>
        <w:tc>
          <w:tcPr>
            <w:tcW w:w="1548" w:type="dxa"/>
            <w:tcBorders>
              <w:top w:val="nil"/>
              <w:left w:val="nil"/>
              <w:bottom w:val="nil"/>
              <w:right w:val="nil"/>
            </w:tcBorders>
            <w:shd w:val="clear" w:color="auto" w:fill="FFFFFF"/>
            <w:vAlign w:val="center"/>
          </w:tcPr>
          <w:p w14:paraId="57B1A9D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0.828</w:t>
            </w:r>
          </w:p>
        </w:tc>
        <w:tc>
          <w:tcPr>
            <w:tcW w:w="1548" w:type="dxa"/>
            <w:tcBorders>
              <w:top w:val="nil"/>
              <w:left w:val="nil"/>
              <w:bottom w:val="nil"/>
              <w:right w:val="nil"/>
            </w:tcBorders>
            <w:shd w:val="clear" w:color="auto" w:fill="FFFFFF"/>
            <w:vAlign w:val="center"/>
          </w:tcPr>
          <w:p w14:paraId="47236E5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0.5235</w:t>
            </w:r>
          </w:p>
        </w:tc>
        <w:tc>
          <w:tcPr>
            <w:tcW w:w="1548" w:type="dxa"/>
            <w:tcBorders>
              <w:top w:val="nil"/>
              <w:left w:val="nil"/>
              <w:bottom w:val="nil"/>
              <w:right w:val="nil"/>
            </w:tcBorders>
            <w:shd w:val="clear" w:color="auto" w:fill="FFFFFF"/>
            <w:vAlign w:val="center"/>
          </w:tcPr>
          <w:p w14:paraId="021492A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6330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FE5341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w:t>
            </w:r>
          </w:p>
        </w:tc>
        <w:tc>
          <w:tcPr>
            <w:tcW w:w="1547" w:type="dxa"/>
            <w:tcBorders>
              <w:top w:val="nil"/>
              <w:left w:val="nil"/>
              <w:bottom w:val="nil"/>
              <w:right w:val="nil"/>
            </w:tcBorders>
            <w:shd w:val="clear" w:color="auto" w:fill="FFFFFF"/>
            <w:vAlign w:val="center"/>
          </w:tcPr>
          <w:p w14:paraId="103A46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血瘀质</w:t>
            </w:r>
          </w:p>
        </w:tc>
        <w:tc>
          <w:tcPr>
            <w:tcW w:w="1548" w:type="dxa"/>
            <w:tcBorders>
              <w:top w:val="nil"/>
              <w:left w:val="nil"/>
              <w:bottom w:val="nil"/>
              <w:right w:val="nil"/>
            </w:tcBorders>
            <w:shd w:val="clear" w:color="auto" w:fill="FFFFFF"/>
            <w:vAlign w:val="center"/>
          </w:tcPr>
          <w:p w14:paraId="417CF45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-0.1835</w:t>
            </w:r>
          </w:p>
        </w:tc>
        <w:tc>
          <w:tcPr>
            <w:tcW w:w="1548" w:type="dxa"/>
            <w:tcBorders>
              <w:top w:val="nil"/>
              <w:left w:val="nil"/>
              <w:bottom w:val="nil"/>
              <w:right w:val="nil"/>
            </w:tcBorders>
            <w:shd w:val="clear" w:color="auto" w:fill="FFFFFF"/>
            <w:vAlign w:val="center"/>
          </w:tcPr>
          <w:p w14:paraId="7C6C8120">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0.832</w:t>
            </w:r>
          </w:p>
        </w:tc>
        <w:tc>
          <w:tcPr>
            <w:tcW w:w="1548" w:type="dxa"/>
            <w:tcBorders>
              <w:top w:val="nil"/>
              <w:left w:val="nil"/>
              <w:bottom w:val="nil"/>
              <w:right w:val="nil"/>
            </w:tcBorders>
            <w:shd w:val="clear" w:color="auto" w:fill="FFFFFF"/>
            <w:vAlign w:val="center"/>
          </w:tcPr>
          <w:p w14:paraId="2498556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0.5497</w:t>
            </w:r>
          </w:p>
        </w:tc>
        <w:tc>
          <w:tcPr>
            <w:tcW w:w="1548" w:type="dxa"/>
            <w:tcBorders>
              <w:top w:val="nil"/>
              <w:left w:val="nil"/>
              <w:bottom w:val="nil"/>
              <w:right w:val="nil"/>
            </w:tcBorders>
            <w:shd w:val="clear" w:color="auto" w:fill="FFFFFF"/>
            <w:vAlign w:val="center"/>
          </w:tcPr>
          <w:p w14:paraId="6C0EA9A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2456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443CD1F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w:t>
            </w:r>
          </w:p>
        </w:tc>
        <w:tc>
          <w:tcPr>
            <w:tcW w:w="1547" w:type="dxa"/>
            <w:tcBorders>
              <w:top w:val="nil"/>
              <w:left w:val="nil"/>
              <w:bottom w:val="nil"/>
              <w:right w:val="nil"/>
            </w:tcBorders>
            <w:shd w:val="clear" w:color="auto" w:fill="FFFFFF"/>
            <w:vAlign w:val="center"/>
          </w:tcPr>
          <w:p w14:paraId="344163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阳虚质</w:t>
            </w:r>
          </w:p>
        </w:tc>
        <w:tc>
          <w:tcPr>
            <w:tcW w:w="1548" w:type="dxa"/>
            <w:tcBorders>
              <w:top w:val="nil"/>
              <w:left w:val="nil"/>
              <w:bottom w:val="nil"/>
              <w:right w:val="nil"/>
            </w:tcBorders>
            <w:shd w:val="clear" w:color="auto" w:fill="FFFFFF"/>
            <w:vAlign w:val="center"/>
          </w:tcPr>
          <w:p w14:paraId="200C98F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0.0763</w:t>
            </w:r>
          </w:p>
        </w:tc>
        <w:tc>
          <w:tcPr>
            <w:tcW w:w="1548" w:type="dxa"/>
            <w:tcBorders>
              <w:top w:val="nil"/>
              <w:left w:val="nil"/>
              <w:bottom w:val="nil"/>
              <w:right w:val="nil"/>
            </w:tcBorders>
            <w:shd w:val="clear" w:color="auto" w:fill="FFFFFF"/>
            <w:vAlign w:val="center"/>
          </w:tcPr>
          <w:p w14:paraId="059F32E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1.079</w:t>
            </w:r>
          </w:p>
        </w:tc>
        <w:tc>
          <w:tcPr>
            <w:tcW w:w="1548" w:type="dxa"/>
            <w:tcBorders>
              <w:top w:val="nil"/>
              <w:left w:val="nil"/>
              <w:bottom w:val="nil"/>
              <w:right w:val="nil"/>
            </w:tcBorders>
            <w:shd w:val="clear" w:color="auto" w:fill="FFFFFF"/>
            <w:vAlign w:val="center"/>
          </w:tcPr>
          <w:p w14:paraId="663B6C79">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0.7956</w:t>
            </w:r>
          </w:p>
        </w:tc>
        <w:tc>
          <w:tcPr>
            <w:tcW w:w="1548" w:type="dxa"/>
            <w:tcBorders>
              <w:top w:val="nil"/>
              <w:left w:val="nil"/>
              <w:bottom w:val="nil"/>
              <w:right w:val="nil"/>
            </w:tcBorders>
            <w:shd w:val="clear" w:color="auto" w:fill="FFFFFF"/>
            <w:vAlign w:val="center"/>
          </w:tcPr>
          <w:p w14:paraId="17867C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6FED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44E41885">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w:t>
            </w:r>
          </w:p>
        </w:tc>
        <w:tc>
          <w:tcPr>
            <w:tcW w:w="1547" w:type="dxa"/>
            <w:tcBorders>
              <w:top w:val="nil"/>
              <w:left w:val="nil"/>
              <w:bottom w:val="nil"/>
              <w:right w:val="nil"/>
            </w:tcBorders>
            <w:shd w:val="clear" w:color="auto" w:fill="FFFFFF"/>
            <w:vAlign w:val="center"/>
          </w:tcPr>
          <w:p w14:paraId="7528765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特禀质</w:t>
            </w:r>
          </w:p>
        </w:tc>
        <w:tc>
          <w:tcPr>
            <w:tcW w:w="1548" w:type="dxa"/>
            <w:tcBorders>
              <w:top w:val="nil"/>
              <w:left w:val="nil"/>
              <w:bottom w:val="nil"/>
              <w:right w:val="nil"/>
            </w:tcBorders>
            <w:shd w:val="clear" w:color="auto" w:fill="FFFFFF"/>
            <w:vAlign w:val="center"/>
          </w:tcPr>
          <w:p w14:paraId="155CB65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-0.0567</w:t>
            </w:r>
          </w:p>
        </w:tc>
        <w:tc>
          <w:tcPr>
            <w:tcW w:w="1548" w:type="dxa"/>
            <w:tcBorders>
              <w:top w:val="nil"/>
              <w:left w:val="nil"/>
              <w:bottom w:val="nil"/>
              <w:right w:val="nil"/>
            </w:tcBorders>
            <w:shd w:val="clear" w:color="auto" w:fill="FFFFFF"/>
            <w:vAlign w:val="center"/>
          </w:tcPr>
          <w:p w14:paraId="3AF90A6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0.945</w:t>
            </w:r>
          </w:p>
        </w:tc>
        <w:tc>
          <w:tcPr>
            <w:tcW w:w="1548" w:type="dxa"/>
            <w:tcBorders>
              <w:top w:val="nil"/>
              <w:left w:val="nil"/>
              <w:bottom w:val="nil"/>
              <w:right w:val="nil"/>
            </w:tcBorders>
            <w:shd w:val="clear" w:color="auto" w:fill="FFFFFF"/>
            <w:vAlign w:val="center"/>
          </w:tcPr>
          <w:p w14:paraId="6F7C179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0.8492</w:t>
            </w:r>
          </w:p>
        </w:tc>
        <w:tc>
          <w:tcPr>
            <w:tcW w:w="1548" w:type="dxa"/>
            <w:tcBorders>
              <w:top w:val="nil"/>
              <w:left w:val="nil"/>
              <w:bottom w:val="nil"/>
              <w:right w:val="nil"/>
            </w:tcBorders>
            <w:shd w:val="clear" w:color="auto" w:fill="FFFFFF"/>
            <w:vAlign w:val="center"/>
          </w:tcPr>
          <w:p w14:paraId="6182E50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75B1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2FA860B9">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7</w:t>
            </w:r>
          </w:p>
        </w:tc>
        <w:tc>
          <w:tcPr>
            <w:tcW w:w="1547" w:type="dxa"/>
            <w:tcBorders>
              <w:top w:val="nil"/>
              <w:left w:val="nil"/>
              <w:bottom w:val="nil"/>
              <w:right w:val="nil"/>
            </w:tcBorders>
            <w:shd w:val="clear" w:color="auto" w:fill="FFFFFF"/>
            <w:vAlign w:val="center"/>
          </w:tcPr>
          <w:p w14:paraId="6949FBB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气郁质</w:t>
            </w:r>
          </w:p>
        </w:tc>
        <w:tc>
          <w:tcPr>
            <w:tcW w:w="1548" w:type="dxa"/>
            <w:tcBorders>
              <w:top w:val="nil"/>
              <w:left w:val="nil"/>
              <w:bottom w:val="nil"/>
              <w:right w:val="nil"/>
            </w:tcBorders>
            <w:shd w:val="clear" w:color="auto" w:fill="FFFFFF"/>
            <w:vAlign w:val="center"/>
          </w:tcPr>
          <w:p w14:paraId="7C6A87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0.0479</w:t>
            </w:r>
          </w:p>
        </w:tc>
        <w:tc>
          <w:tcPr>
            <w:tcW w:w="1548" w:type="dxa"/>
            <w:tcBorders>
              <w:top w:val="nil"/>
              <w:left w:val="nil"/>
              <w:bottom w:val="nil"/>
              <w:right w:val="nil"/>
            </w:tcBorders>
            <w:shd w:val="clear" w:color="auto" w:fill="FFFFFF"/>
            <w:vAlign w:val="center"/>
          </w:tcPr>
          <w:p w14:paraId="1640497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1.049</w:t>
            </w:r>
          </w:p>
        </w:tc>
        <w:tc>
          <w:tcPr>
            <w:tcW w:w="1548" w:type="dxa"/>
            <w:tcBorders>
              <w:top w:val="nil"/>
              <w:left w:val="nil"/>
              <w:bottom w:val="nil"/>
              <w:right w:val="nil"/>
            </w:tcBorders>
            <w:shd w:val="clear" w:color="auto" w:fill="FFFFFF"/>
            <w:vAlign w:val="center"/>
          </w:tcPr>
          <w:p w14:paraId="33AD31E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0.8729</w:t>
            </w:r>
          </w:p>
        </w:tc>
        <w:tc>
          <w:tcPr>
            <w:tcW w:w="1548" w:type="dxa"/>
            <w:tcBorders>
              <w:top w:val="nil"/>
              <w:left w:val="nil"/>
              <w:bottom w:val="nil"/>
              <w:right w:val="nil"/>
            </w:tcBorders>
            <w:shd w:val="clear" w:color="auto" w:fill="FFFFFF"/>
            <w:vAlign w:val="center"/>
          </w:tcPr>
          <w:p w14:paraId="38D7FA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7FC3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A34886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547" w:type="dxa"/>
            <w:tcBorders>
              <w:top w:val="nil"/>
              <w:left w:val="nil"/>
              <w:bottom w:val="nil"/>
              <w:right w:val="nil"/>
            </w:tcBorders>
            <w:shd w:val="clear" w:color="auto" w:fill="FFFFFF"/>
            <w:vAlign w:val="center"/>
          </w:tcPr>
          <w:p w14:paraId="3F43C50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痰湿质</w:t>
            </w:r>
          </w:p>
        </w:tc>
        <w:tc>
          <w:tcPr>
            <w:tcW w:w="1548" w:type="dxa"/>
            <w:tcBorders>
              <w:top w:val="nil"/>
              <w:left w:val="nil"/>
              <w:bottom w:val="nil"/>
              <w:right w:val="nil"/>
            </w:tcBorders>
            <w:shd w:val="clear" w:color="auto" w:fill="FFFFFF"/>
            <w:vAlign w:val="center"/>
          </w:tcPr>
          <w:p w14:paraId="5345144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-0.0261</w:t>
            </w:r>
          </w:p>
        </w:tc>
        <w:tc>
          <w:tcPr>
            <w:tcW w:w="1548" w:type="dxa"/>
            <w:tcBorders>
              <w:top w:val="nil"/>
              <w:left w:val="nil"/>
              <w:bottom w:val="nil"/>
              <w:right w:val="nil"/>
            </w:tcBorders>
            <w:shd w:val="clear" w:color="auto" w:fill="FFFFFF"/>
            <w:vAlign w:val="center"/>
          </w:tcPr>
          <w:p w14:paraId="537E16E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0.974</w:t>
            </w:r>
          </w:p>
        </w:tc>
        <w:tc>
          <w:tcPr>
            <w:tcW w:w="1548" w:type="dxa"/>
            <w:tcBorders>
              <w:top w:val="nil"/>
              <w:left w:val="nil"/>
              <w:bottom w:val="nil"/>
              <w:right w:val="nil"/>
            </w:tcBorders>
            <w:shd w:val="clear" w:color="auto" w:fill="FFFFFF"/>
            <w:vAlign w:val="center"/>
          </w:tcPr>
          <w:p w14:paraId="04A68A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0.9193</w:t>
            </w:r>
          </w:p>
        </w:tc>
        <w:tc>
          <w:tcPr>
            <w:tcW w:w="1548" w:type="dxa"/>
            <w:tcBorders>
              <w:top w:val="nil"/>
              <w:left w:val="nil"/>
              <w:bottom w:val="nil"/>
              <w:right w:val="nil"/>
            </w:tcBorders>
            <w:shd w:val="clear" w:color="auto" w:fill="FFFFFF"/>
            <w:vAlign w:val="center"/>
          </w:tcPr>
          <w:p w14:paraId="1FA711E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4B65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single" w:color="000000" w:sz="12" w:space="0"/>
              <w:right w:val="nil"/>
            </w:tcBorders>
            <w:shd w:val="clear" w:color="auto" w:fill="FFFFFF"/>
            <w:vAlign w:val="center"/>
          </w:tcPr>
          <w:p w14:paraId="63E63DE2">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9</w:t>
            </w:r>
          </w:p>
        </w:tc>
        <w:tc>
          <w:tcPr>
            <w:tcW w:w="1547" w:type="dxa"/>
            <w:tcBorders>
              <w:top w:val="nil"/>
              <w:left w:val="nil"/>
              <w:bottom w:val="single" w:color="000000" w:sz="12" w:space="0"/>
              <w:right w:val="nil"/>
            </w:tcBorders>
            <w:shd w:val="clear" w:color="auto" w:fill="FFFFFF"/>
            <w:vAlign w:val="center"/>
          </w:tcPr>
          <w:p w14:paraId="027F564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阴虚质</w:t>
            </w:r>
          </w:p>
        </w:tc>
        <w:tc>
          <w:tcPr>
            <w:tcW w:w="1548" w:type="dxa"/>
            <w:tcBorders>
              <w:top w:val="nil"/>
              <w:left w:val="nil"/>
              <w:bottom w:val="single" w:color="000000" w:sz="12" w:space="0"/>
              <w:right w:val="nil"/>
            </w:tcBorders>
            <w:shd w:val="clear" w:color="auto" w:fill="FFFFFF"/>
            <w:vAlign w:val="center"/>
          </w:tcPr>
          <w:p w14:paraId="6C7E376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0.0108</w:t>
            </w:r>
          </w:p>
        </w:tc>
        <w:tc>
          <w:tcPr>
            <w:tcW w:w="1548" w:type="dxa"/>
            <w:tcBorders>
              <w:top w:val="nil"/>
              <w:left w:val="nil"/>
              <w:bottom w:val="single" w:color="000000" w:sz="12" w:space="0"/>
              <w:right w:val="nil"/>
            </w:tcBorders>
            <w:shd w:val="clear" w:color="auto" w:fill="FFFFFF"/>
            <w:vAlign w:val="center"/>
          </w:tcPr>
          <w:p w14:paraId="3C659C7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1.011</w:t>
            </w:r>
          </w:p>
        </w:tc>
        <w:tc>
          <w:tcPr>
            <w:tcW w:w="1548" w:type="dxa"/>
            <w:tcBorders>
              <w:top w:val="nil"/>
              <w:left w:val="nil"/>
              <w:bottom w:val="single" w:color="000000" w:sz="12" w:space="0"/>
              <w:right w:val="nil"/>
            </w:tcBorders>
            <w:shd w:val="clear" w:color="auto" w:fill="FFFFFF"/>
            <w:vAlign w:val="center"/>
          </w:tcPr>
          <w:p w14:paraId="1B7F866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0.9709</w:t>
            </w:r>
          </w:p>
        </w:tc>
        <w:tc>
          <w:tcPr>
            <w:tcW w:w="1548" w:type="dxa"/>
            <w:tcBorders>
              <w:top w:val="nil"/>
              <w:left w:val="nil"/>
              <w:bottom w:val="single" w:color="000000" w:sz="12" w:space="0"/>
              <w:right w:val="nil"/>
            </w:tcBorders>
            <w:shd w:val="clear" w:color="auto" w:fill="FFFFFF"/>
            <w:vAlign w:val="center"/>
          </w:tcPr>
          <w:p w14:paraId="00CCBAC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bl>
    <w:p w14:paraId="3CA0E6AF">
      <w:pPr>
        <w:ind w:firstLine="440" w:firstLineChars="200"/>
        <w:rPr>
          <w:rFonts w:hint="eastAsia" w:ascii="Times New Roman" w:hAnsi="Times New Roman" w:eastAsia="宋体" w:cs="Times New Roman"/>
          <w:sz w:val="22"/>
          <w:szCs w:val="22"/>
          <w:lang w:eastAsia="zh-CN"/>
        </w:rPr>
      </w:pPr>
    </w:p>
    <w:p w14:paraId="3616E73B">
      <w:pPr>
        <w:ind w:firstLine="44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49925" cy="3353435"/>
            <wp:effectExtent l="0" t="0" r="10795" b="14605"/>
            <wp:docPr id="7" name="图片 7" descr="coefficien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efficient_bar"/>
                    <pic:cNvPicPr>
                      <a:picLocks noChangeAspect="1"/>
                    </pic:cNvPicPr>
                  </pic:nvPicPr>
                  <pic:blipFill>
                    <a:blip r:embed="rId12"/>
                    <a:stretch>
                      <a:fillRect/>
                    </a:stretch>
                  </pic:blipFill>
                  <pic:spPr>
                    <a:xfrm>
                      <a:off x="0" y="0"/>
                      <a:ext cx="5749925" cy="3353435"/>
                    </a:xfrm>
                    <a:prstGeom prst="rect">
                      <a:avLst/>
                    </a:prstGeom>
                  </pic:spPr>
                </pic:pic>
              </a:graphicData>
            </a:graphic>
          </wp:inline>
        </w:drawing>
      </w: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6</w:t>
      </w:r>
      <w:r>
        <w:rPr>
          <w:rFonts w:hint="eastAsia" w:ascii="Times New Roman" w:hAnsi="Times New Roman" w:eastAsia="宋体" w:cs="Times New Roman"/>
          <w:sz w:val="20"/>
          <w:szCs w:val="20"/>
          <w:lang w:eastAsia="zh-CN"/>
        </w:rPr>
        <w:t xml:space="preserve"> 九种体质 Logistic 回归系数对比</w:t>
      </w:r>
    </w:p>
    <w:p w14:paraId="2A67B1A7">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334385"/>
            <wp:effectExtent l="0" t="0" r="4445" b="3175"/>
            <wp:docPr id="8" name="图片 8" descr="fore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orest_plot"/>
                    <pic:cNvPicPr>
                      <a:picLocks noChangeAspect="1"/>
                    </pic:cNvPicPr>
                  </pic:nvPicPr>
                  <pic:blipFill>
                    <a:blip r:embed="rId13"/>
                    <a:stretch>
                      <a:fillRect/>
                    </a:stretch>
                  </pic:blipFill>
                  <pic:spPr>
                    <a:xfrm>
                      <a:off x="0" y="0"/>
                      <a:ext cx="5756275" cy="3334385"/>
                    </a:xfrm>
                    <a:prstGeom prst="rect">
                      <a:avLst/>
                    </a:prstGeom>
                  </pic:spPr>
                </pic:pic>
              </a:graphicData>
            </a:graphic>
          </wp:inline>
        </w:drawing>
      </w:r>
    </w:p>
    <w:p w14:paraId="1D2D3E33">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7</w:t>
      </w:r>
      <w:r>
        <w:rPr>
          <w:rFonts w:hint="eastAsia" w:ascii="Times New Roman" w:hAnsi="Times New Roman" w:eastAsia="宋体" w:cs="Times New Roman"/>
          <w:sz w:val="20"/>
          <w:szCs w:val="20"/>
          <w:lang w:eastAsia="zh-CN"/>
        </w:rPr>
        <w:t xml:space="preserve"> 九种体质对高血脂发病风险的贡献度（森林图）</w:t>
      </w:r>
    </w:p>
    <w:p w14:paraId="10CFE286">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结果分析：</w:t>
      </w:r>
    </w:p>
    <w:p w14:paraId="753B7C95">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气虚质贡献度最高（OR=1.568），为最主要潜在风险体质，符合“气虚运化无力、痰湿内停、血脂升高”的中医病机。</w:t>
      </w:r>
    </w:p>
    <w:p w14:paraId="6F7A5C0C">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平和质呈风险趋势，可能与样本中平和质人群健康管理松懈相关。</w:t>
      </w:r>
    </w:p>
    <w:p w14:paraId="40D3AD91">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湿热质、血瘀质为保护因素，提示气血运行相对通畅，血脂代谢更稳定。</w:t>
      </w:r>
    </w:p>
    <w:p w14:paraId="34030B57">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痰湿质系数接近0，提示单纯痰湿体质分型不足以判断风险，必须结合血脂指标联合评估。</w:t>
      </w:r>
    </w:p>
    <w:p w14:paraId="00B306EA">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所有体质95% CI均包含1，说明在当前样本下，无任何一种体质具备独立显著的高血脂预测作用。</w:t>
      </w:r>
    </w:p>
    <w:p w14:paraId="6F63D414">
      <w:pPr>
        <w:ind w:firstLine="440" w:firstLineChars="200"/>
        <w:rPr>
          <w:rFonts w:hint="eastAsia" w:ascii="Times New Roman" w:hAnsi="Times New Roman" w:eastAsia="宋体" w:cs="Times New Roman"/>
          <w:sz w:val="22"/>
          <w:szCs w:val="22"/>
          <w:lang w:eastAsia="zh-CN"/>
        </w:rPr>
      </w:pPr>
    </w:p>
    <w:p w14:paraId="32380CBD">
      <w:pPr>
        <w:ind w:firstLine="440" w:firstLineChars="200"/>
        <w:rPr>
          <w:rFonts w:hint="eastAsia" w:ascii="Times New Roman" w:hAnsi="Times New Roman" w:eastAsia="宋体" w:cs="Times New Roman"/>
          <w:sz w:val="22"/>
          <w:szCs w:val="22"/>
          <w:lang w:eastAsia="zh-CN"/>
        </w:rPr>
      </w:pPr>
    </w:p>
    <w:p w14:paraId="5194C0A5">
      <w:pPr>
        <w:numPr>
          <w:ilvl w:val="0"/>
          <w:numId w:val="0"/>
        </w:numPr>
        <w:ind w:left="0" w:leftChars="0" w:firstLine="0" w:firstLineChars="0"/>
        <w:jc w:val="center"/>
        <w:outlineLvl w:val="0"/>
        <w:rPr>
          <w:rFonts w:hint="eastAsia" w:ascii="Times New Roman" w:hAnsi="Times New Roman" w:eastAsia="宋体" w:cs="Times New Roman"/>
          <w:sz w:val="22"/>
          <w:szCs w:val="22"/>
          <w:lang w:eastAsia="zh-CN"/>
        </w:rPr>
      </w:pPr>
      <w:bookmarkStart w:id="51" w:name="_Toc17483"/>
      <w:bookmarkStart w:id="52" w:name="_Toc32020"/>
      <w:r>
        <w:rPr>
          <w:rFonts w:hint="eastAsia" w:ascii="Times New Roman" w:hAnsi="Times New Roman" w:eastAsia="宋体" w:cs="Times New Roman"/>
          <w:b/>
          <w:bCs/>
          <w:sz w:val="24"/>
          <w:szCs w:val="24"/>
          <w:lang w:val="en-US" w:eastAsia="zh-CN"/>
        </w:rPr>
        <w:t>六、问题二模型的建立和求解</w:t>
      </w:r>
      <w:bookmarkEnd w:id="51"/>
      <w:bookmarkEnd w:id="52"/>
    </w:p>
    <w:p w14:paraId="6B7FCCEA">
      <w:pPr>
        <w:outlineLvl w:val="1"/>
        <w:rPr>
          <w:rFonts w:hint="eastAsia" w:ascii="Times New Roman" w:hAnsi="Times New Roman" w:eastAsia="宋体" w:cs="Times New Roman"/>
          <w:sz w:val="22"/>
          <w:szCs w:val="22"/>
          <w:lang w:eastAsia="zh-CN"/>
        </w:rPr>
      </w:pPr>
      <w:bookmarkStart w:id="53" w:name="_Toc17773"/>
      <w:bookmarkStart w:id="54" w:name="_Toc4685"/>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 xml:space="preserve"> 子问题一：多维度融合风险预警模型构建</w:t>
      </w:r>
      <w:bookmarkEnd w:id="53"/>
      <w:bookmarkEnd w:id="54"/>
    </w:p>
    <w:p w14:paraId="332594EA">
      <w:pPr>
        <w:outlineLvl w:val="2"/>
        <w:rPr>
          <w:rFonts w:hint="eastAsia" w:ascii="Times New Roman" w:hAnsi="Times New Roman" w:eastAsia="宋体" w:cs="Times New Roman"/>
          <w:sz w:val="22"/>
          <w:szCs w:val="22"/>
          <w:lang w:eastAsia="zh-CN"/>
        </w:rPr>
      </w:pPr>
      <w:bookmarkStart w:id="55" w:name="_Toc8323"/>
      <w:bookmarkStart w:id="56" w:name="_Toc16782"/>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.1 模型构建思路</w:t>
      </w:r>
      <w:bookmarkEnd w:id="55"/>
      <w:bookmarkEnd w:id="56"/>
    </w:p>
    <w:p w14:paraId="4D10828B">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本小节目标：融合中医体质、血常规、活动量表、人口学四大维度特征，构建可输出低、中、高三级风险的预警模型，并明确各级风险的特征分层阈值依据。</w:t>
      </w:r>
    </w:p>
    <w:p w14:paraId="01B9BCC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整体流程：</w:t>
      </w:r>
    </w:p>
    <w:p w14:paraId="4F77974A">
      <w:pPr>
        <w:ind w:firstLine="440" w:firstLineChars="200"/>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以高血脂二分类标签为目标，构建逻辑回归概率预测模型；</w:t>
      </w:r>
    </w:p>
    <w:p w14:paraId="5BE6B30B">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基于预测概率，结</w:t>
      </w:r>
      <w:r>
        <w:rPr>
          <w:rFonts w:hint="eastAsia" w:cs="Times New Roman"/>
          <w:sz w:val="22"/>
          <w:szCs w:val="22"/>
          <w:lang w:val="en-US" w:eastAsia="zh-CN"/>
        </w:rPr>
        <w:t>合</w:t>
      </w:r>
      <w:r>
        <w:rPr>
          <w:rFonts w:hint="eastAsia" w:ascii="Times New Roman" w:hAnsi="Times New Roman" w:eastAsia="宋体" w:cs="Times New Roman"/>
          <w:sz w:val="22"/>
          <w:szCs w:val="22"/>
          <w:lang w:eastAsia="zh-CN"/>
        </w:rPr>
        <w:t>ROC曲线Youden指数与概率分布分位数确定三级风险阈值；</w:t>
      </w:r>
    </w:p>
    <w:p w14:paraId="7E4472A4">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训练CART决策树提取可解释的特征分层规则；</w:t>
      </w:r>
    </w:p>
    <w:p w14:paraId="6B80193E">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对比各风险等级关键特征均值，验证分层合理性。</w:t>
      </w:r>
    </w:p>
    <w:p w14:paraId="3012037A">
      <w:pPr>
        <w:outlineLvl w:val="2"/>
        <w:rPr>
          <w:rFonts w:hint="eastAsia" w:ascii="Times New Roman" w:hAnsi="Times New Roman" w:eastAsia="宋体" w:cs="Times New Roman"/>
          <w:sz w:val="22"/>
          <w:szCs w:val="22"/>
          <w:lang w:eastAsia="zh-CN"/>
        </w:rPr>
      </w:pPr>
      <w:bookmarkStart w:id="57" w:name="_Toc31552"/>
      <w:bookmarkStart w:id="58" w:name="_Toc14584"/>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.2 逻辑回归概率预测模型</w:t>
      </w:r>
      <w:bookmarkEnd w:id="57"/>
      <w:bookmarkEnd w:id="58"/>
    </w:p>
    <w:p w14:paraId="3CF1DAF0">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模型建立</w:t>
      </w:r>
    </w:p>
    <w:p w14:paraId="74EE866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采用L2 正则化逻辑回归，将二分类转化为 0~1 患病概率输出，模型公式：</w:t>
      </w:r>
    </w:p>
    <w:p w14:paraId="0EC00F69">
      <w:pPr>
        <w:ind w:firstLine="440" w:firstLineChars="200"/>
        <w:rPr>
          <w:rFonts w:hint="default" w:hAnsi="Cambria Math" w:eastAsia="宋体"/>
          <w:i w:val="0"/>
          <w:sz w:val="22"/>
        </w:rPr>
      </w:pPr>
      <m:oMathPara>
        <m:oMath>
          <m:r>
            <m:rPr/>
            <w:rPr>
              <w:rFonts w:hint="default" w:ascii="Cambria Math" w:hAnsi="Cambria Math" w:eastAsia="宋体"/>
              <w:sz w:val="22"/>
            </w:rPr>
            <m:t>P(Y=1|X)=</m:t>
          </m:r>
          <m:f>
            <m:fPr>
              <m:ctrlPr>
                <w:rPr>
                  <w:rFonts w:hint="default" w:ascii="Cambria Math" w:hAnsi="Cambria Math" w:eastAsia="宋体"/>
                  <w:sz w:val="22"/>
                </w:rPr>
              </m:ctrlPr>
            </m:fPr>
            <m:num>
              <m:r>
                <m:rPr/>
                <w:rPr>
                  <w:rFonts w:hint="default" w:ascii="Cambria Math" w:hAnsi="Cambria Math" w:eastAsia="宋体"/>
                  <w:sz w:val="22"/>
                </w:rPr>
                <m:t>1</m:t>
              </m:r>
              <m:ctrlPr>
                <w:rPr>
                  <w:rFonts w:ascii="Cambria Math" w:hAnsi="Cambria Math" w:eastAsia="宋体"/>
                  <w:sz w:val="22"/>
                </w:rPr>
              </m:ctrlPr>
            </m:num>
            <m:den>
              <m:r>
                <m:rPr/>
                <w:rPr>
                  <w:rFonts w:hint="default" w:ascii="Cambria Math" w:hAnsi="Cambria Math" w:eastAsia="宋体"/>
                  <w:sz w:val="22"/>
                </w:rPr>
                <m:t>1+</m:t>
              </m:r>
              <m:sSup>
                <m:sSupPr>
                  <m:ctrlPr>
                    <w:rPr>
                      <w:rFonts w:hint="default" w:ascii="Cambria Math" w:hAnsi="Cambria Math" w:eastAsia="宋体"/>
                      <w:sz w:val="22"/>
                    </w:rPr>
                  </m:ctrlPr>
                </m:sSupPr>
                <m:e>
                  <m:r>
                    <m:rPr/>
                    <w:rPr>
                      <w:rFonts w:hint="default" w:ascii="Cambria Math" w:hAnsi="Cambria Math" w:eastAsia="宋体"/>
                      <w:sz w:val="22"/>
                    </w:rPr>
                    <m:t>e</m:t>
                  </m:r>
                  <m:ctrlPr>
                    <w:rPr>
                      <w:rFonts w:ascii="Cambria Math" w:hAnsi="Cambria Math" w:eastAsia="宋体"/>
                      <w:sz w:val="22"/>
                    </w:rPr>
                  </m:ctrlPr>
                </m:e>
                <m:sup>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β</m:t>
                      </m:r>
                      <m:ctrlPr>
                        <w:rPr>
                          <w:rFonts w:ascii="Cambria Math" w:hAnsi="Cambria Math" w:eastAsia="宋体"/>
                          <w:sz w:val="22"/>
                        </w:rPr>
                      </m:ctrlPr>
                    </m:e>
                    <m:sub>
                      <m:r>
                        <m:rPr/>
                        <w:rPr>
                          <w:rFonts w:hint="default" w:ascii="Cambria Math" w:hAnsi="Cambria Math" w:eastAsia="宋体"/>
                          <w:sz w:val="22"/>
                        </w:rPr>
                        <m:t>0</m:t>
                      </m:r>
                      <m:ctrlPr>
                        <w:rPr>
                          <w:rFonts w:ascii="Cambria Math" w:hAnsi="Cambria Math" w:eastAsia="宋体"/>
                          <w:sz w:val="22"/>
                        </w:rPr>
                      </m:ctrlPr>
                    </m:sub>
                  </m:sSub>
                  <m:r>
                    <m:rPr/>
                    <w:rPr>
                      <w:rFonts w:hint="default" w:ascii="Cambria Math" w:hAnsi="Cambria Math" w:eastAsia="宋体"/>
                      <w:sz w:val="22"/>
                    </w:rPr>
                    <m:t>+</m:t>
                  </m:r>
                  <m:nary>
                    <m:naryPr>
                      <m:chr m:val="∑"/>
                      <m:limLoc m:val="subSup"/>
                      <m:ctrlPr>
                        <w:rPr>
                          <w:rFonts w:hint="default" w:ascii="Cambria Math" w:hAnsi="Cambria Math" w:eastAsia="宋体"/>
                          <w:sz w:val="22"/>
                        </w:rPr>
                      </m:ctrlPr>
                    </m:naryPr>
                    <m:sub>
                      <m:r>
                        <m:rPr/>
                        <w:rPr>
                          <w:rFonts w:hint="default" w:ascii="Cambria Math" w:hAnsi="Cambria Math" w:eastAsia="宋体"/>
                          <w:sz w:val="22"/>
                        </w:rPr>
                        <m:t>i=1</m:t>
                      </m:r>
                      <m:ctrlPr>
                        <w:rPr>
                          <w:rFonts w:ascii="Cambria Math" w:hAnsi="Cambria Math" w:eastAsia="宋体"/>
                          <w:sz w:val="22"/>
                        </w:rPr>
                      </m:ctrlPr>
                    </m:sub>
                    <m:sup>
                      <m:r>
                        <m:rPr/>
                        <w:rPr>
                          <w:rFonts w:hint="default" w:ascii="Cambria Math" w:hAnsi="Cambria Math" w:eastAsia="宋体"/>
                          <w:sz w:val="22"/>
                        </w:rPr>
                        <m:t>32</m:t>
                      </m:r>
                      <m:ctrlPr>
                        <w:rPr>
                          <w:rFonts w:ascii="Cambria Math" w:hAnsi="Cambria Math" w:eastAsia="宋体"/>
                          <w:sz w:val="22"/>
                        </w:rPr>
                      </m:ctrlPr>
                    </m:sup>
                    <m:e>
                      <m:sSub>
                        <m:sSubPr>
                          <m:ctrlPr>
                            <w:rPr>
                              <w:rFonts w:hint="default" w:ascii="Cambria Math" w:hAnsi="Cambria Math" w:eastAsia="宋体"/>
                              <w:sz w:val="22"/>
                            </w:rPr>
                          </m:ctrlPr>
                        </m:sSubPr>
                        <m:e>
                          <m:r>
                            <m:rPr/>
                            <w:rPr>
                              <w:rFonts w:hint="default" w:ascii="Cambria Math" w:hAnsi="Cambria Math" w:eastAsia="宋体"/>
                              <w:sz w:val="22"/>
                            </w:rPr>
                            <m:t>β</m:t>
                          </m:r>
                          <m:ctrlPr>
                            <w:rPr>
                              <w:rFonts w:ascii="Cambria Math" w:hAnsi="Cambria Math" w:eastAsia="宋体"/>
                              <w:sz w:val="22"/>
                            </w:rPr>
                          </m:ctrlPr>
                        </m:e>
                        <m:sub>
                          <m:r>
                            <m:rPr/>
                            <w:rPr>
                              <w:rFonts w:hint="default" w:ascii="Cambria Math" w:hAnsi="Cambria Math" w:eastAsia="宋体"/>
                              <w:sz w:val="22"/>
                            </w:rPr>
                            <m:t>i</m:t>
                          </m:r>
                          <m:ctrlPr>
                            <w:rPr>
                              <w:rFonts w:ascii="Cambria Math" w:hAnsi="Cambria Math" w:eastAsia="宋体"/>
                              <w:sz w:val="22"/>
                            </w:rPr>
                          </m:ctrlPr>
                        </m:sub>
                      </m:sSub>
                      <m:ctrlPr>
                        <w:rPr>
                          <w:rFonts w:hint="default" w:ascii="Cambria Math" w:hAnsi="Cambria Math" w:eastAsia="宋体"/>
                          <w:sz w:val="22"/>
                        </w:rPr>
                      </m:ctrlPr>
                    </m:e>
                  </m:nary>
                  <m:sSub>
                    <m:sSubPr>
                      <m:ctrlPr>
                        <w:rPr>
                          <w:rFonts w:hint="default" w:ascii="Cambria Math" w:hAnsi="Cambria Math" w:eastAsia="宋体"/>
                          <w:sz w:val="22"/>
                        </w:rPr>
                      </m:ctrlPr>
                    </m:sSubPr>
                    <m:e>
                      <m:r>
                        <m:rPr/>
                        <w:rPr>
                          <w:rFonts w:hint="default" w:ascii="Cambria Math" w:hAnsi="Cambria Math" w:eastAsia="宋体"/>
                          <w:sz w:val="22"/>
                        </w:rPr>
                        <m:t>x</m:t>
                      </m:r>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ctrlPr>
                    <w:rPr>
                      <w:rFonts w:hint="default" w:ascii="Cambria Math" w:hAnsi="Cambria Math" w:eastAsia="宋体"/>
                      <w:sz w:val="22"/>
                    </w:rPr>
                  </m:ctrlPr>
                </m:sup>
              </m:sSup>
              <m:ctrlPr>
                <w:rPr>
                  <w:rFonts w:hint="default" w:ascii="Cambria Math" w:hAnsi="Cambria Math" w:eastAsia="宋体"/>
                  <w:sz w:val="22"/>
                </w:rPr>
              </m:ctrlPr>
            </m:den>
          </m:f>
        </m:oMath>
      </m:oMathPara>
    </w:p>
    <w:p w14:paraId="4517BF03">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设置</w:t>
      </w:r>
      <w:r>
        <w:rPr>
          <w:rFonts w:hint="eastAsia" w:ascii="Times New Roman" w:hAnsi="Times New Roman" w:eastAsia="宋体" w:cs="Times New Roman"/>
          <w:sz w:val="22"/>
          <w:szCs w:val="22"/>
          <w:lang w:eastAsia="zh-CN"/>
        </w:rPr>
        <w:t>class_weight='balanced'处理类别不平衡，使用5折分层交叉验证评估泛化能力。</w:t>
      </w:r>
    </w:p>
    <w:p w14:paraId="2002B1C4">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模型评价结果</w:t>
      </w:r>
    </w:p>
    <w:p w14:paraId="2679FA9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模型经5折交叉验证，性能如下：</w:t>
      </w:r>
    </w:p>
    <w:p w14:paraId="4389C3CA">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7</w:t>
      </w:r>
      <w:r>
        <w:rPr>
          <w:rFonts w:hint="eastAsia" w:ascii="Times New Roman" w:hAnsi="Times New Roman" w:eastAsia="宋体" w:cs="Times New Roman"/>
          <w:sz w:val="20"/>
          <w:szCs w:val="20"/>
          <w:lang w:eastAsia="zh-CN"/>
        </w:rPr>
        <w:t xml:space="preserve"> 高血脂症风险预警逻辑回归模型性能指标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3484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3725BE12">
            <w:pPr>
              <w:jc w:val="center"/>
              <w:rPr>
                <w:rFonts w:hint="default" w:ascii="Times New Roman" w:hAnsi="Times New Roman" w:eastAsia="宋体" w:cs="Times New Roman"/>
                <w:b w:val="0"/>
                <w:color w:val="000000"/>
                <w:sz w:val="22"/>
                <w:szCs w:val="22"/>
                <w:vertAlign w:val="baseline"/>
                <w:lang w:val="en-US" w:eastAsia="zh-CN"/>
              </w:rPr>
            </w:pPr>
            <w:r>
              <w:rPr>
                <w:rFonts w:hint="eastAsia" w:cs="Times New Roman"/>
                <w:b w:val="0"/>
                <w:color w:val="000000"/>
                <w:sz w:val="22"/>
                <w:szCs w:val="22"/>
                <w:vertAlign w:val="baseline"/>
                <w:lang w:val="en-US" w:eastAsia="zh-CN"/>
              </w:rPr>
              <w:t>指标</w:t>
            </w:r>
          </w:p>
        </w:tc>
        <w:tc>
          <w:tcPr>
            <w:tcW w:w="4643" w:type="dxa"/>
            <w:tcBorders>
              <w:top w:val="single" w:color="000000" w:sz="12" w:space="0"/>
              <w:left w:val="nil"/>
              <w:bottom w:val="single" w:color="000000" w:sz="4" w:space="0"/>
              <w:right w:val="nil"/>
            </w:tcBorders>
            <w:shd w:val="clear" w:color="auto" w:fill="FFFFFF"/>
            <w:vAlign w:val="center"/>
          </w:tcPr>
          <w:p w14:paraId="7208C566">
            <w:pPr>
              <w:jc w:val="center"/>
              <w:rPr>
                <w:rFonts w:hint="default" w:ascii="Times New Roman" w:hAnsi="Times New Roman" w:eastAsia="宋体" w:cs="Times New Roman"/>
                <w:b w:val="0"/>
                <w:color w:val="000000"/>
                <w:sz w:val="22"/>
                <w:szCs w:val="22"/>
                <w:vertAlign w:val="baseline"/>
                <w:lang w:val="en-US" w:eastAsia="zh-CN"/>
              </w:rPr>
            </w:pPr>
            <w:r>
              <w:rPr>
                <w:rFonts w:hint="eastAsia" w:cs="Times New Roman"/>
                <w:b w:val="0"/>
                <w:color w:val="000000"/>
                <w:sz w:val="22"/>
                <w:szCs w:val="22"/>
                <w:vertAlign w:val="baseline"/>
                <w:lang w:val="en-US" w:eastAsia="zh-CN"/>
              </w:rPr>
              <w:t>值</w:t>
            </w:r>
          </w:p>
        </w:tc>
      </w:tr>
      <w:tr w14:paraId="351A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3C403A30">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5折CV AUC</w:t>
            </w:r>
          </w:p>
        </w:tc>
        <w:tc>
          <w:tcPr>
            <w:tcW w:w="4643" w:type="dxa"/>
            <w:tcBorders>
              <w:top w:val="single" w:color="000000" w:sz="4" w:space="0"/>
              <w:left w:val="nil"/>
              <w:bottom w:val="nil"/>
              <w:right w:val="nil"/>
            </w:tcBorders>
            <w:shd w:val="clear" w:color="auto" w:fill="FFFFFF"/>
            <w:vAlign w:val="center"/>
          </w:tcPr>
          <w:p w14:paraId="675DB22F">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0.9719 ± 0.0089</w:t>
            </w:r>
          </w:p>
        </w:tc>
      </w:tr>
      <w:tr w14:paraId="488C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9ACCED6">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5折CV ACC</w:t>
            </w:r>
          </w:p>
        </w:tc>
        <w:tc>
          <w:tcPr>
            <w:tcW w:w="4643" w:type="dxa"/>
            <w:tcBorders>
              <w:top w:val="nil"/>
              <w:left w:val="nil"/>
              <w:bottom w:val="nil"/>
              <w:right w:val="nil"/>
            </w:tcBorders>
            <w:shd w:val="clear" w:color="auto" w:fill="FFFFFF"/>
            <w:vAlign w:val="center"/>
          </w:tcPr>
          <w:p w14:paraId="56330E11">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0.9030 ± 0.0157</w:t>
            </w:r>
          </w:p>
        </w:tc>
      </w:tr>
      <w:tr w14:paraId="6EF5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0982C1C7">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训练集AUC</w:t>
            </w:r>
          </w:p>
        </w:tc>
        <w:tc>
          <w:tcPr>
            <w:tcW w:w="4643" w:type="dxa"/>
            <w:tcBorders>
              <w:top w:val="nil"/>
              <w:left w:val="nil"/>
              <w:bottom w:val="single" w:color="000000" w:sz="12" w:space="0"/>
              <w:right w:val="nil"/>
            </w:tcBorders>
            <w:shd w:val="clear" w:color="auto" w:fill="FFFFFF"/>
            <w:vAlign w:val="center"/>
          </w:tcPr>
          <w:p w14:paraId="037F3B29">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0.9030 ± 0.0157</w:t>
            </w:r>
          </w:p>
        </w:tc>
      </w:tr>
    </w:tbl>
    <w:p w14:paraId="2CC14060">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预测概率统计：</w:t>
      </w:r>
    </w:p>
    <w:p w14:paraId="73117FEC">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全体样本：均值 = 0.7268，标准差 = 0.3773，最小值 = 0.0000，最大值 = 1.0000</w:t>
      </w:r>
    </w:p>
    <w:p w14:paraId="4F0AA5C8">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确诊样本：均值 = 0.8871，标准差 = 0.2168</w:t>
      </w:r>
    </w:p>
    <w:p w14:paraId="38EFB2D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健康样本：均值 = 0.1129，标准差 = 0.1797</w:t>
      </w:r>
    </w:p>
    <w:p w14:paraId="0003232C">
      <w:pPr>
        <w:ind w:firstLine="44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4524375" cy="3335020"/>
            <wp:effectExtent l="0" t="0" r="1905" b="2540"/>
            <wp:docPr id="3" name="图片 3" descr="lr_probability_r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r_probability_roc(1)"/>
                    <pic:cNvPicPr>
                      <a:picLocks noChangeAspect="1"/>
                    </pic:cNvPicPr>
                  </pic:nvPicPr>
                  <pic:blipFill>
                    <a:blip r:embed="rId14"/>
                    <a:stretch>
                      <a:fillRect/>
                    </a:stretch>
                  </pic:blipFill>
                  <pic:spPr>
                    <a:xfrm>
                      <a:off x="0" y="0"/>
                      <a:ext cx="4524375" cy="3335020"/>
                    </a:xfrm>
                    <a:prstGeom prst="rect">
                      <a:avLst/>
                    </a:prstGeom>
                  </pic:spPr>
                </pic:pic>
              </a:graphicData>
            </a:graphic>
          </wp:inline>
        </w:drawing>
      </w:r>
    </w:p>
    <w:p w14:paraId="1A77E486">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8</w:t>
      </w:r>
      <w:r>
        <w:rPr>
          <w:rFonts w:hint="eastAsia" w:ascii="Times New Roman" w:hAnsi="Times New Roman" w:eastAsia="宋体" w:cs="Times New Roman"/>
          <w:sz w:val="20"/>
          <w:szCs w:val="20"/>
          <w:lang w:eastAsia="zh-CN"/>
        </w:rPr>
        <w:t xml:space="preserve"> 逻辑回归模型预测概率分布直方图</w:t>
      </w:r>
    </w:p>
    <w:p w14:paraId="702B5BD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逻辑回归特征系数（按绝对值排序）</w:t>
      </w:r>
    </w:p>
    <w:p w14:paraId="52BC4AC0">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8</w:t>
      </w:r>
      <w:r>
        <w:rPr>
          <w:rFonts w:hint="eastAsia" w:ascii="Times New Roman" w:hAnsi="Times New Roman" w:eastAsia="宋体" w:cs="Times New Roman"/>
          <w:sz w:val="20"/>
          <w:szCs w:val="20"/>
          <w:lang w:eastAsia="zh-CN"/>
        </w:rPr>
        <w:t xml:space="preserve"> 逻辑回归模型特征系数</w:t>
      </w:r>
      <w:r>
        <w:rPr>
          <w:rFonts w:hint="eastAsia" w:cs="Times New Roman"/>
          <w:sz w:val="20"/>
          <w:szCs w:val="20"/>
          <w:lang w:val="en-US" w:eastAsia="zh-CN"/>
        </w:rPr>
        <w:t>前10</w:t>
      </w:r>
      <w:r>
        <w:rPr>
          <w:rFonts w:hint="eastAsia" w:ascii="Times New Roman" w:hAnsi="Times New Roman" w:eastAsia="宋体" w:cs="Times New Roman"/>
          <w:sz w:val="20"/>
          <w:szCs w:val="20"/>
          <w:lang w:eastAsia="zh-CN"/>
        </w:rPr>
        <w:t>排序</w:t>
      </w:r>
      <w:r>
        <w:rPr>
          <w:rFonts w:hint="eastAsia" w:cs="Times New Roman"/>
          <w:sz w:val="20"/>
          <w:szCs w:val="20"/>
          <w:lang w:eastAsia="zh-CN"/>
        </w:rPr>
        <w:t>（</w:t>
      </w:r>
      <w:r>
        <w:rPr>
          <w:rFonts w:hint="eastAsia" w:cs="Times New Roman"/>
          <w:sz w:val="20"/>
          <w:szCs w:val="20"/>
          <w:lang w:val="en-US" w:eastAsia="zh-CN"/>
        </w:rPr>
        <w:t>按绝对值</w:t>
      </w:r>
      <w:r>
        <w:rPr>
          <w:rFonts w:hint="eastAsia" w:cs="Times New Roman"/>
          <w:sz w:val="20"/>
          <w:szCs w:val="20"/>
          <w:lang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2768"/>
        <w:gridCol w:w="1491"/>
        <w:gridCol w:w="1857"/>
        <w:gridCol w:w="1858"/>
      </w:tblGrid>
      <w:tr w14:paraId="5210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single" w:color="000000" w:sz="12" w:space="0"/>
              <w:left w:val="nil"/>
              <w:bottom w:val="single" w:color="000000" w:sz="4" w:space="0"/>
              <w:right w:val="nil"/>
              <w:tl2br w:val="nil"/>
            </w:tcBorders>
            <w:shd w:val="clear" w:color="auto" w:fill="FFFFFF"/>
            <w:vAlign w:val="center"/>
          </w:tcPr>
          <w:p w14:paraId="6A9F05D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排名</w:t>
            </w:r>
          </w:p>
        </w:tc>
        <w:tc>
          <w:tcPr>
            <w:tcW w:w="2768" w:type="dxa"/>
            <w:tcBorders>
              <w:top w:val="single" w:color="000000" w:sz="12" w:space="0"/>
              <w:left w:val="nil"/>
              <w:bottom w:val="single" w:color="000000" w:sz="4" w:space="0"/>
              <w:right w:val="nil"/>
            </w:tcBorders>
            <w:shd w:val="clear" w:color="auto" w:fill="FFFFFF"/>
            <w:vAlign w:val="center"/>
          </w:tcPr>
          <w:p w14:paraId="4A07F8B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1491" w:type="dxa"/>
            <w:tcBorders>
              <w:top w:val="single" w:color="000000" w:sz="12" w:space="0"/>
              <w:left w:val="nil"/>
              <w:bottom w:val="single" w:color="000000" w:sz="4" w:space="0"/>
              <w:right w:val="nil"/>
            </w:tcBorders>
            <w:shd w:val="clear" w:color="auto" w:fill="FFFFFF"/>
            <w:vAlign w:val="center"/>
          </w:tcPr>
          <w:p w14:paraId="5F83CDD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类型</w:t>
            </w:r>
          </w:p>
        </w:tc>
        <w:tc>
          <w:tcPr>
            <w:tcW w:w="1857" w:type="dxa"/>
            <w:tcBorders>
              <w:top w:val="single" w:color="000000" w:sz="12" w:space="0"/>
              <w:left w:val="nil"/>
              <w:bottom w:val="single" w:color="000000" w:sz="4" w:space="0"/>
              <w:right w:val="nil"/>
            </w:tcBorders>
            <w:shd w:val="clear" w:color="auto" w:fill="FFFFFF"/>
            <w:vAlign w:val="center"/>
          </w:tcPr>
          <w:p w14:paraId="625D5A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方向</w:t>
            </w:r>
          </w:p>
        </w:tc>
        <w:tc>
          <w:tcPr>
            <w:tcW w:w="1858" w:type="dxa"/>
            <w:tcBorders>
              <w:top w:val="single" w:color="000000" w:sz="12" w:space="0"/>
              <w:left w:val="nil"/>
              <w:bottom w:val="single" w:color="000000" w:sz="4" w:space="0"/>
              <w:right w:val="nil"/>
            </w:tcBorders>
            <w:shd w:val="clear" w:color="auto" w:fill="FFFFFF"/>
            <w:vAlign w:val="center"/>
          </w:tcPr>
          <w:p w14:paraId="18E28C0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系数</w:t>
            </w:r>
          </w:p>
        </w:tc>
      </w:tr>
      <w:tr w14:paraId="0BB9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single" w:color="000000" w:sz="4" w:space="0"/>
              <w:left w:val="nil"/>
              <w:bottom w:val="nil"/>
              <w:right w:val="nil"/>
            </w:tcBorders>
            <w:shd w:val="clear" w:color="auto" w:fill="FFFFFF"/>
            <w:vAlign w:val="center"/>
          </w:tcPr>
          <w:p w14:paraId="2670E3B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w:t>
            </w:r>
          </w:p>
        </w:tc>
        <w:tc>
          <w:tcPr>
            <w:tcW w:w="2768" w:type="dxa"/>
            <w:tcBorders>
              <w:top w:val="single" w:color="000000" w:sz="4" w:space="0"/>
              <w:left w:val="nil"/>
              <w:bottom w:val="nil"/>
              <w:right w:val="nil"/>
            </w:tcBorders>
            <w:shd w:val="clear" w:color="auto" w:fill="FFFFFF"/>
            <w:vAlign w:val="center"/>
          </w:tcPr>
          <w:p w14:paraId="2C5C8BF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TG（甘油三酯）</w:t>
            </w:r>
          </w:p>
        </w:tc>
        <w:tc>
          <w:tcPr>
            <w:tcW w:w="1491" w:type="dxa"/>
            <w:tcBorders>
              <w:top w:val="single" w:color="000000" w:sz="4" w:space="0"/>
              <w:left w:val="nil"/>
              <w:bottom w:val="nil"/>
              <w:right w:val="nil"/>
            </w:tcBorders>
            <w:shd w:val="clear" w:color="auto" w:fill="FFFFFF"/>
            <w:vAlign w:val="center"/>
          </w:tcPr>
          <w:p w14:paraId="7F862A2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single" w:color="000000" w:sz="4" w:space="0"/>
              <w:left w:val="nil"/>
              <w:bottom w:val="nil"/>
              <w:right w:val="nil"/>
            </w:tcBorders>
            <w:shd w:val="clear" w:color="auto" w:fill="FFFFFF"/>
            <w:vAlign w:val="center"/>
          </w:tcPr>
          <w:p w14:paraId="69BD680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single" w:color="000000" w:sz="4" w:space="0"/>
              <w:left w:val="nil"/>
              <w:bottom w:val="nil"/>
              <w:right w:val="nil"/>
            </w:tcBorders>
            <w:shd w:val="clear" w:color="auto" w:fill="FFFFFF"/>
            <w:vAlign w:val="center"/>
          </w:tcPr>
          <w:p w14:paraId="340982C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4.1189</w:t>
            </w:r>
          </w:p>
        </w:tc>
      </w:tr>
      <w:tr w14:paraId="2F27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1C3408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w:t>
            </w:r>
          </w:p>
        </w:tc>
        <w:tc>
          <w:tcPr>
            <w:tcW w:w="2768" w:type="dxa"/>
            <w:tcBorders>
              <w:top w:val="nil"/>
              <w:left w:val="nil"/>
              <w:bottom w:val="nil"/>
              <w:right w:val="nil"/>
            </w:tcBorders>
            <w:shd w:val="clear" w:color="auto" w:fill="FFFFFF"/>
            <w:vAlign w:val="center"/>
          </w:tcPr>
          <w:p w14:paraId="2B4DC4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TC（总胆固醇）</w:t>
            </w:r>
          </w:p>
        </w:tc>
        <w:tc>
          <w:tcPr>
            <w:tcW w:w="1491" w:type="dxa"/>
            <w:tcBorders>
              <w:top w:val="nil"/>
              <w:left w:val="nil"/>
              <w:bottom w:val="nil"/>
              <w:right w:val="nil"/>
            </w:tcBorders>
            <w:shd w:val="clear" w:color="auto" w:fill="FFFFFF"/>
            <w:vAlign w:val="center"/>
          </w:tcPr>
          <w:p w14:paraId="7B6D2B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6A15AAC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3E8FC2C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2.9402</w:t>
            </w:r>
          </w:p>
        </w:tc>
      </w:tr>
      <w:tr w14:paraId="20F4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20F3C9D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w:t>
            </w:r>
          </w:p>
        </w:tc>
        <w:tc>
          <w:tcPr>
            <w:tcW w:w="2768" w:type="dxa"/>
            <w:tcBorders>
              <w:top w:val="nil"/>
              <w:left w:val="nil"/>
              <w:bottom w:val="nil"/>
              <w:right w:val="nil"/>
            </w:tcBorders>
            <w:shd w:val="clear" w:color="auto" w:fill="FFFFFF"/>
            <w:vAlign w:val="center"/>
          </w:tcPr>
          <w:p w14:paraId="1441D9A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HDL-C（高密度脂蛋白）</w:t>
            </w:r>
          </w:p>
        </w:tc>
        <w:tc>
          <w:tcPr>
            <w:tcW w:w="1491" w:type="dxa"/>
            <w:tcBorders>
              <w:top w:val="nil"/>
              <w:left w:val="nil"/>
              <w:bottom w:val="nil"/>
              <w:right w:val="nil"/>
            </w:tcBorders>
            <w:shd w:val="clear" w:color="auto" w:fill="FFFFFF"/>
            <w:vAlign w:val="center"/>
          </w:tcPr>
          <w:p w14:paraId="522158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5B6E1B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nil"/>
              <w:right w:val="nil"/>
            </w:tcBorders>
            <w:shd w:val="clear" w:color="auto" w:fill="FFFFFF"/>
            <w:vAlign w:val="center"/>
          </w:tcPr>
          <w:p w14:paraId="490A259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-0.7645</w:t>
            </w:r>
          </w:p>
        </w:tc>
      </w:tr>
      <w:tr w14:paraId="2B31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69D1D7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w:t>
            </w:r>
          </w:p>
        </w:tc>
        <w:tc>
          <w:tcPr>
            <w:tcW w:w="2768" w:type="dxa"/>
            <w:tcBorders>
              <w:top w:val="nil"/>
              <w:left w:val="nil"/>
              <w:bottom w:val="nil"/>
              <w:right w:val="nil"/>
            </w:tcBorders>
            <w:shd w:val="clear" w:color="auto" w:fill="FFFFFF"/>
            <w:vAlign w:val="center"/>
          </w:tcPr>
          <w:p w14:paraId="7027388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血尿酸</w:t>
            </w:r>
          </w:p>
        </w:tc>
        <w:tc>
          <w:tcPr>
            <w:tcW w:w="1491" w:type="dxa"/>
            <w:tcBorders>
              <w:top w:val="nil"/>
              <w:left w:val="nil"/>
              <w:bottom w:val="nil"/>
              <w:right w:val="nil"/>
            </w:tcBorders>
            <w:shd w:val="clear" w:color="auto" w:fill="FFFFFF"/>
            <w:vAlign w:val="center"/>
          </w:tcPr>
          <w:p w14:paraId="458DDA7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7C1E3BF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03A3679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0.7169</w:t>
            </w:r>
          </w:p>
        </w:tc>
      </w:tr>
      <w:tr w14:paraId="2295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3EAC2FF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w:t>
            </w:r>
          </w:p>
        </w:tc>
        <w:tc>
          <w:tcPr>
            <w:tcW w:w="2768" w:type="dxa"/>
            <w:tcBorders>
              <w:top w:val="nil"/>
              <w:left w:val="nil"/>
              <w:bottom w:val="nil"/>
              <w:right w:val="nil"/>
            </w:tcBorders>
            <w:shd w:val="clear" w:color="auto" w:fill="FFFFFF"/>
            <w:vAlign w:val="center"/>
          </w:tcPr>
          <w:p w14:paraId="660BEAC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LDL-C（低密度脂蛋白）</w:t>
            </w:r>
          </w:p>
        </w:tc>
        <w:tc>
          <w:tcPr>
            <w:tcW w:w="1491" w:type="dxa"/>
            <w:tcBorders>
              <w:top w:val="nil"/>
              <w:left w:val="nil"/>
              <w:bottom w:val="nil"/>
              <w:right w:val="nil"/>
            </w:tcBorders>
            <w:shd w:val="clear" w:color="auto" w:fill="FFFFFF"/>
            <w:vAlign w:val="center"/>
          </w:tcPr>
          <w:p w14:paraId="1AD7970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4D35A8C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12EAFE45">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0.698</w:t>
            </w:r>
            <w:r>
              <w:rPr>
                <w:rFonts w:hint="eastAsia" w:ascii="宋体" w:hAnsi="宋体" w:cs="宋体"/>
                <w:b w:val="0"/>
                <w:i w:val="0"/>
                <w:iCs w:val="0"/>
                <w:color w:val="000000"/>
                <w:kern w:val="0"/>
                <w:sz w:val="22"/>
                <w:szCs w:val="22"/>
                <w:u w:val="none"/>
                <w:lang w:val="en-US" w:eastAsia="zh-CN" w:bidi="ar"/>
              </w:rPr>
              <w:t>0</w:t>
            </w:r>
          </w:p>
        </w:tc>
      </w:tr>
      <w:tr w14:paraId="3BE2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27253DD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w:t>
            </w:r>
          </w:p>
        </w:tc>
        <w:tc>
          <w:tcPr>
            <w:tcW w:w="2768" w:type="dxa"/>
            <w:tcBorders>
              <w:top w:val="nil"/>
              <w:left w:val="nil"/>
              <w:bottom w:val="nil"/>
              <w:right w:val="nil"/>
            </w:tcBorders>
            <w:shd w:val="clear" w:color="auto" w:fill="FFFFFF"/>
            <w:vAlign w:val="center"/>
          </w:tcPr>
          <w:p w14:paraId="1992734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性别</w:t>
            </w:r>
          </w:p>
        </w:tc>
        <w:tc>
          <w:tcPr>
            <w:tcW w:w="1491" w:type="dxa"/>
            <w:tcBorders>
              <w:top w:val="nil"/>
              <w:left w:val="nil"/>
              <w:bottom w:val="nil"/>
              <w:right w:val="nil"/>
            </w:tcBorders>
            <w:shd w:val="clear" w:color="auto" w:fill="FFFFFF"/>
            <w:vAlign w:val="center"/>
          </w:tcPr>
          <w:p w14:paraId="6893AF5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人口学</w:t>
            </w:r>
          </w:p>
        </w:tc>
        <w:tc>
          <w:tcPr>
            <w:tcW w:w="1857" w:type="dxa"/>
            <w:tcBorders>
              <w:top w:val="nil"/>
              <w:left w:val="nil"/>
              <w:bottom w:val="nil"/>
              <w:right w:val="nil"/>
            </w:tcBorders>
            <w:shd w:val="clear" w:color="auto" w:fill="FFFFFF"/>
            <w:vAlign w:val="center"/>
          </w:tcPr>
          <w:p w14:paraId="3A5CBFC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nil"/>
              <w:right w:val="nil"/>
            </w:tcBorders>
            <w:shd w:val="clear" w:color="auto" w:fill="FFFFFF"/>
            <w:vAlign w:val="center"/>
          </w:tcPr>
          <w:p w14:paraId="0D38CD63">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-0.393</w:t>
            </w:r>
            <w:r>
              <w:rPr>
                <w:rFonts w:hint="eastAsia" w:ascii="宋体" w:hAnsi="宋体" w:cs="宋体"/>
                <w:b w:val="0"/>
                <w:i w:val="0"/>
                <w:iCs w:val="0"/>
                <w:color w:val="000000"/>
                <w:kern w:val="0"/>
                <w:sz w:val="22"/>
                <w:szCs w:val="22"/>
                <w:u w:val="none"/>
                <w:lang w:val="en-US" w:eastAsia="zh-CN" w:bidi="ar"/>
              </w:rPr>
              <w:t>0</w:t>
            </w:r>
          </w:p>
        </w:tc>
      </w:tr>
      <w:tr w14:paraId="43E6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1184578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w:t>
            </w:r>
          </w:p>
        </w:tc>
        <w:tc>
          <w:tcPr>
            <w:tcW w:w="2768" w:type="dxa"/>
            <w:tcBorders>
              <w:top w:val="nil"/>
              <w:left w:val="nil"/>
              <w:bottom w:val="nil"/>
              <w:right w:val="nil"/>
            </w:tcBorders>
            <w:shd w:val="clear" w:color="auto" w:fill="FFFFFF"/>
            <w:vAlign w:val="center"/>
          </w:tcPr>
          <w:p w14:paraId="1F9A63F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平和质</w:t>
            </w:r>
          </w:p>
        </w:tc>
        <w:tc>
          <w:tcPr>
            <w:tcW w:w="1491" w:type="dxa"/>
            <w:tcBorders>
              <w:top w:val="nil"/>
              <w:left w:val="nil"/>
              <w:bottom w:val="nil"/>
              <w:right w:val="nil"/>
            </w:tcBorders>
            <w:shd w:val="clear" w:color="auto" w:fill="FFFFFF"/>
            <w:vAlign w:val="center"/>
          </w:tcPr>
          <w:p w14:paraId="744F896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3C2E2C2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4F37E86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0.2642</w:t>
            </w:r>
          </w:p>
        </w:tc>
      </w:tr>
      <w:tr w14:paraId="2DF7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2FC89D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8</w:t>
            </w:r>
          </w:p>
        </w:tc>
        <w:tc>
          <w:tcPr>
            <w:tcW w:w="2768" w:type="dxa"/>
            <w:tcBorders>
              <w:top w:val="nil"/>
              <w:left w:val="nil"/>
              <w:bottom w:val="nil"/>
              <w:right w:val="nil"/>
            </w:tcBorders>
            <w:shd w:val="clear" w:color="auto" w:fill="FFFFFF"/>
            <w:vAlign w:val="center"/>
          </w:tcPr>
          <w:p w14:paraId="220505E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气虚质</w:t>
            </w:r>
          </w:p>
        </w:tc>
        <w:tc>
          <w:tcPr>
            <w:tcW w:w="1491" w:type="dxa"/>
            <w:tcBorders>
              <w:top w:val="nil"/>
              <w:left w:val="nil"/>
              <w:bottom w:val="nil"/>
              <w:right w:val="nil"/>
            </w:tcBorders>
            <w:shd w:val="clear" w:color="auto" w:fill="FFFFFF"/>
            <w:vAlign w:val="center"/>
          </w:tcPr>
          <w:p w14:paraId="7DB5342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14901C4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3FC69C6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0.2238</w:t>
            </w:r>
          </w:p>
        </w:tc>
      </w:tr>
      <w:tr w14:paraId="7D0E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nil"/>
              <w:right w:val="nil"/>
            </w:tcBorders>
            <w:shd w:val="clear" w:color="auto" w:fill="FFFFFF"/>
            <w:vAlign w:val="center"/>
          </w:tcPr>
          <w:p w14:paraId="781C0D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9</w:t>
            </w:r>
          </w:p>
        </w:tc>
        <w:tc>
          <w:tcPr>
            <w:tcW w:w="2768" w:type="dxa"/>
            <w:tcBorders>
              <w:top w:val="nil"/>
              <w:left w:val="nil"/>
              <w:bottom w:val="nil"/>
              <w:right w:val="nil"/>
            </w:tcBorders>
            <w:shd w:val="clear" w:color="auto" w:fill="FFFFFF"/>
            <w:vAlign w:val="center"/>
          </w:tcPr>
          <w:p w14:paraId="151BFEB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痰湿质</w:t>
            </w:r>
          </w:p>
        </w:tc>
        <w:tc>
          <w:tcPr>
            <w:tcW w:w="1491" w:type="dxa"/>
            <w:tcBorders>
              <w:top w:val="nil"/>
              <w:left w:val="nil"/>
              <w:bottom w:val="nil"/>
              <w:right w:val="nil"/>
            </w:tcBorders>
            <w:shd w:val="clear" w:color="auto" w:fill="FFFFFF"/>
            <w:vAlign w:val="center"/>
          </w:tcPr>
          <w:p w14:paraId="112E0D5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6EF7693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41DF13A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0.1649</w:t>
            </w:r>
          </w:p>
        </w:tc>
      </w:tr>
      <w:tr w14:paraId="2826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Borders>
              <w:top w:val="nil"/>
              <w:left w:val="nil"/>
              <w:bottom w:val="single" w:color="000000" w:sz="12" w:space="0"/>
              <w:right w:val="nil"/>
            </w:tcBorders>
            <w:shd w:val="clear" w:color="auto" w:fill="FFFFFF"/>
            <w:vAlign w:val="center"/>
          </w:tcPr>
          <w:p w14:paraId="5F125E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w:t>
            </w:r>
          </w:p>
        </w:tc>
        <w:tc>
          <w:tcPr>
            <w:tcW w:w="2768" w:type="dxa"/>
            <w:tcBorders>
              <w:top w:val="nil"/>
              <w:left w:val="nil"/>
              <w:bottom w:val="single" w:color="000000" w:sz="12" w:space="0"/>
              <w:right w:val="nil"/>
            </w:tcBorders>
            <w:shd w:val="clear" w:color="auto" w:fill="FFFFFF"/>
            <w:vAlign w:val="center"/>
          </w:tcPr>
          <w:p w14:paraId="3818979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饮酒史</w:t>
            </w:r>
          </w:p>
        </w:tc>
        <w:tc>
          <w:tcPr>
            <w:tcW w:w="1491" w:type="dxa"/>
            <w:tcBorders>
              <w:top w:val="nil"/>
              <w:left w:val="nil"/>
              <w:bottom w:val="single" w:color="000000" w:sz="12" w:space="0"/>
              <w:right w:val="nil"/>
            </w:tcBorders>
            <w:shd w:val="clear" w:color="auto" w:fill="FFFFFF"/>
            <w:vAlign w:val="center"/>
          </w:tcPr>
          <w:p w14:paraId="7F4F15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人口学</w:t>
            </w:r>
          </w:p>
        </w:tc>
        <w:tc>
          <w:tcPr>
            <w:tcW w:w="1857" w:type="dxa"/>
            <w:tcBorders>
              <w:top w:val="nil"/>
              <w:left w:val="nil"/>
              <w:bottom w:val="single" w:color="000000" w:sz="12" w:space="0"/>
              <w:right w:val="nil"/>
            </w:tcBorders>
            <w:shd w:val="clear" w:color="auto" w:fill="FFFFFF"/>
            <w:vAlign w:val="center"/>
          </w:tcPr>
          <w:p w14:paraId="6434358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single" w:color="000000" w:sz="12" w:space="0"/>
              <w:right w:val="nil"/>
            </w:tcBorders>
            <w:shd w:val="clear" w:color="auto" w:fill="FFFFFF"/>
            <w:vAlign w:val="center"/>
          </w:tcPr>
          <w:p w14:paraId="171D788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-0.158</w:t>
            </w:r>
          </w:p>
        </w:tc>
      </w:tr>
    </w:tbl>
    <w:p w14:paraId="320FA024">
      <w:pPr>
        <w:jc w:val="left"/>
        <w:rPr>
          <w:rFonts w:hint="eastAsia" w:ascii="Times New Roman" w:hAnsi="Times New Roman" w:eastAsia="宋体" w:cs="Times New Roman"/>
          <w:sz w:val="22"/>
          <w:szCs w:val="22"/>
          <w:lang w:eastAsia="zh-CN"/>
        </w:rPr>
      </w:pPr>
    </w:p>
    <w:p w14:paraId="39E0F2FA">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818255"/>
            <wp:effectExtent l="0" t="0" r="4445" b="6985"/>
            <wp:docPr id="9" name="图片 9" descr="lr_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r_coefficients"/>
                    <pic:cNvPicPr>
                      <a:picLocks noChangeAspect="1"/>
                    </pic:cNvPicPr>
                  </pic:nvPicPr>
                  <pic:blipFill>
                    <a:blip r:embed="rId15"/>
                    <a:stretch>
                      <a:fillRect/>
                    </a:stretch>
                  </pic:blipFill>
                  <pic:spPr>
                    <a:xfrm>
                      <a:off x="0" y="0"/>
                      <a:ext cx="5756275" cy="3818255"/>
                    </a:xfrm>
                    <a:prstGeom prst="rect">
                      <a:avLst/>
                    </a:prstGeom>
                  </pic:spPr>
                </pic:pic>
              </a:graphicData>
            </a:graphic>
          </wp:inline>
        </w:drawing>
      </w:r>
    </w:p>
    <w:p w14:paraId="1C3AA416">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9</w:t>
      </w:r>
      <w:r>
        <w:rPr>
          <w:rFonts w:hint="eastAsia" w:ascii="Times New Roman" w:hAnsi="Times New Roman" w:eastAsia="宋体" w:cs="Times New Roman"/>
          <w:sz w:val="20"/>
          <w:szCs w:val="20"/>
          <w:lang w:eastAsia="zh-CN"/>
        </w:rPr>
        <w:t xml:space="preserve"> 高血脂症风险预警逻辑回归模型的特征系数条形图</w:t>
      </w:r>
    </w:p>
    <w:p w14:paraId="374E2B24">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结果表明：</w:t>
      </w:r>
    </w:p>
    <w:p w14:paraId="788C316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血常规指标（TG、TC、HDL-C、血尿酸、LDL-C）占据系数绝对值前5名，是高血脂风险预警的核心驱动因子。</w:t>
      </w:r>
    </w:p>
    <w:p w14:paraId="01DED8BB">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TG（甘油三酯）系数远超其他特征（4.12 vs 第二名2.94），是风险预警的第一大指标。</w:t>
      </w:r>
    </w:p>
    <w:p w14:paraId="0537BD8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HDL-C（高密度脂蛋白）为负向，即HDL-C越高风险越低，符合医学常识（"好胆固醇"具有保护作用）。</w:t>
      </w:r>
    </w:p>
    <w:p w14:paraId="17CF13DA">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体质维度中，平和质和气虚质贡献最大，痰湿质排第9（系数=0.1649），说明痰湿质在融合模型中的独立贡献不如血常规指标突出。</w:t>
      </w:r>
    </w:p>
    <w:p w14:paraId="2DAABFB7">
      <w:pPr>
        <w:jc w:val="left"/>
        <w:outlineLvl w:val="2"/>
        <w:rPr>
          <w:rFonts w:hint="eastAsia" w:ascii="Times New Roman" w:hAnsi="Times New Roman" w:eastAsia="宋体" w:cs="Times New Roman"/>
          <w:sz w:val="22"/>
          <w:szCs w:val="22"/>
          <w:lang w:eastAsia="zh-CN"/>
        </w:rPr>
      </w:pPr>
      <w:bookmarkStart w:id="59" w:name="_Toc20668"/>
      <w:bookmarkStart w:id="60" w:name="_Toc3428"/>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.3 三级风险阈值确定</w:t>
      </w:r>
      <w:bookmarkEnd w:id="59"/>
      <w:bookmarkEnd w:id="60"/>
    </w:p>
    <w:p w14:paraId="7F8C3AC0">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阈值选取依据</w:t>
      </w:r>
    </w:p>
    <w:p w14:paraId="44980E19">
      <w:pPr>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ROC曲线Youden指数：最优二分界点=0.5791，Youden指数J=0.8630，TPR=0.9016，FPR=0.0386。</w:t>
      </w:r>
    </w:p>
    <w:p w14:paraId="277CF1CD">
      <w:pPr>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概率分位数：</w:t>
      </w:r>
    </w:p>
    <w:p w14:paraId="6C9243B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负例 Q75=0.1259（75%健康人概率低于此值）</w:t>
      </w:r>
    </w:p>
    <w:p w14:paraId="7660A6A6">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全体 Q33=0.7512，Q50=0.9657，Q67=0.9965</w:t>
      </w:r>
    </w:p>
    <w:p w14:paraId="2C8E749F">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正例 Q25=0.9039</w:t>
      </w:r>
    </w:p>
    <w:p w14:paraId="5CBE6A8F">
      <w:pPr>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ascii="Times New Roman" w:hAnsi="Times New Roman" w:eastAsia="宋体" w:cs="Times New Roman"/>
          <w:sz w:val="20"/>
          <w:szCs w:val="20"/>
          <w:lang w:val="en-US" w:eastAsia="zh-CN"/>
        </w:rPr>
        <w:t>9</w:t>
      </w:r>
      <w:r>
        <w:rPr>
          <w:rFonts w:hint="eastAsia" w:ascii="Times New Roman" w:hAnsi="Times New Roman" w:eastAsia="宋体" w:cs="Times New Roman"/>
          <w:sz w:val="20"/>
          <w:szCs w:val="20"/>
          <w:lang w:eastAsia="zh-CN"/>
        </w:rPr>
        <w:t xml:space="preserve"> 高血脂症三级风险阈值及依据</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904"/>
        <w:gridCol w:w="4086"/>
      </w:tblGrid>
      <w:tr w14:paraId="669F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Borders>
              <w:top w:val="single" w:color="000000" w:sz="12" w:space="0"/>
              <w:left w:val="nil"/>
              <w:bottom w:val="single" w:color="000000" w:sz="4" w:space="0"/>
              <w:right w:val="nil"/>
              <w:tl2br w:val="nil"/>
            </w:tcBorders>
            <w:shd w:val="clear" w:color="auto" w:fill="FFFFFF"/>
            <w:vAlign w:val="center"/>
          </w:tcPr>
          <w:p w14:paraId="5327B44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风险等级</w:t>
            </w:r>
          </w:p>
        </w:tc>
        <w:tc>
          <w:tcPr>
            <w:tcW w:w="2904" w:type="dxa"/>
            <w:tcBorders>
              <w:top w:val="single" w:color="000000" w:sz="12" w:space="0"/>
              <w:left w:val="nil"/>
              <w:bottom w:val="single" w:color="000000" w:sz="4" w:space="0"/>
              <w:right w:val="nil"/>
            </w:tcBorders>
            <w:shd w:val="clear" w:color="auto" w:fill="FFFFFF"/>
            <w:vAlign w:val="center"/>
          </w:tcPr>
          <w:p w14:paraId="1F597D1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概率阈值</w:t>
            </w:r>
          </w:p>
        </w:tc>
        <w:tc>
          <w:tcPr>
            <w:tcW w:w="4086" w:type="dxa"/>
            <w:tcBorders>
              <w:top w:val="single" w:color="000000" w:sz="12" w:space="0"/>
              <w:left w:val="nil"/>
              <w:bottom w:val="single" w:color="000000" w:sz="4" w:space="0"/>
              <w:right w:val="nil"/>
            </w:tcBorders>
            <w:shd w:val="clear" w:color="auto" w:fill="FFFFFF"/>
            <w:vAlign w:val="center"/>
          </w:tcPr>
          <w:p w14:paraId="7AFC336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选取依据</w:t>
            </w:r>
          </w:p>
        </w:tc>
      </w:tr>
      <w:tr w14:paraId="6184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Borders>
              <w:top w:val="single" w:color="000000" w:sz="4" w:space="0"/>
              <w:left w:val="nil"/>
              <w:bottom w:val="nil"/>
              <w:right w:val="nil"/>
            </w:tcBorders>
            <w:shd w:val="clear" w:color="auto" w:fill="FFFFFF"/>
            <w:vAlign w:val="center"/>
          </w:tcPr>
          <w:p w14:paraId="4803FB7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904" w:type="dxa"/>
            <w:tcBorders>
              <w:top w:val="single" w:color="000000" w:sz="4" w:space="0"/>
              <w:left w:val="nil"/>
              <w:bottom w:val="nil"/>
              <w:right w:val="nil"/>
            </w:tcBorders>
            <w:shd w:val="clear" w:color="auto" w:fill="FFFFFF"/>
            <w:vAlign w:val="center"/>
          </w:tcPr>
          <w:p w14:paraId="48B95C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P &lt; 0.1259</m:t>
                </m:r>
              </m:oMath>
            </m:oMathPara>
          </w:p>
        </w:tc>
        <w:tc>
          <w:tcPr>
            <w:tcW w:w="4086" w:type="dxa"/>
            <w:tcBorders>
              <w:top w:val="single" w:color="000000" w:sz="4" w:space="0"/>
              <w:left w:val="nil"/>
              <w:bottom w:val="nil"/>
              <w:right w:val="nil"/>
            </w:tcBorders>
            <w:shd w:val="clear" w:color="auto" w:fill="FFFFFF"/>
            <w:vAlign w:val="center"/>
          </w:tcPr>
          <w:p w14:paraId="68B75D6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负例Q75，确保75%健康人归入低风险</w:t>
            </w:r>
          </w:p>
        </w:tc>
      </w:tr>
      <w:tr w14:paraId="65D3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Borders>
              <w:top w:val="nil"/>
              <w:left w:val="nil"/>
              <w:bottom w:val="nil"/>
              <w:right w:val="nil"/>
            </w:tcBorders>
            <w:shd w:val="clear" w:color="auto" w:fill="FFFFFF"/>
            <w:vAlign w:val="center"/>
          </w:tcPr>
          <w:p w14:paraId="58AA10D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904" w:type="dxa"/>
            <w:tcBorders>
              <w:top w:val="nil"/>
              <w:left w:val="nil"/>
              <w:bottom w:val="nil"/>
              <w:right w:val="nil"/>
            </w:tcBorders>
            <w:shd w:val="clear" w:color="auto" w:fill="FFFFFF"/>
            <w:vAlign w:val="center"/>
          </w:tcPr>
          <w:p w14:paraId="707F24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0.1259 ≤ P ≤ 0.5791</m:t>
                </m:r>
              </m:oMath>
            </m:oMathPara>
          </w:p>
        </w:tc>
        <w:tc>
          <w:tcPr>
            <w:tcW w:w="4086" w:type="dxa"/>
            <w:tcBorders>
              <w:top w:val="nil"/>
              <w:left w:val="nil"/>
              <w:bottom w:val="nil"/>
              <w:right w:val="nil"/>
            </w:tcBorders>
            <w:shd w:val="clear" w:color="auto" w:fill="FFFFFF"/>
            <w:vAlign w:val="center"/>
          </w:tcPr>
          <w:p w14:paraId="3B0CA18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介于健康分界与最优判别点之间</w:t>
            </w:r>
          </w:p>
        </w:tc>
      </w:tr>
      <w:tr w14:paraId="6C74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Borders>
              <w:top w:val="nil"/>
              <w:left w:val="nil"/>
              <w:bottom w:val="single" w:color="000000" w:sz="12" w:space="0"/>
              <w:right w:val="nil"/>
            </w:tcBorders>
            <w:shd w:val="clear" w:color="auto" w:fill="FFFFFF"/>
            <w:vAlign w:val="center"/>
          </w:tcPr>
          <w:p w14:paraId="3D6A29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w:t>
            </w:r>
          </w:p>
        </w:tc>
        <w:tc>
          <w:tcPr>
            <w:tcW w:w="2904" w:type="dxa"/>
            <w:tcBorders>
              <w:top w:val="nil"/>
              <w:left w:val="nil"/>
              <w:bottom w:val="single" w:color="000000" w:sz="12" w:space="0"/>
              <w:right w:val="nil"/>
            </w:tcBorders>
            <w:shd w:val="clear" w:color="auto" w:fill="FFFFFF"/>
            <w:vAlign w:val="center"/>
          </w:tcPr>
          <w:p w14:paraId="194F42F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P &gt; 0.5791</m:t>
                </m:r>
              </m:oMath>
            </m:oMathPara>
          </w:p>
        </w:tc>
        <w:tc>
          <w:tcPr>
            <w:tcW w:w="4086" w:type="dxa"/>
            <w:tcBorders>
              <w:top w:val="nil"/>
              <w:left w:val="nil"/>
              <w:bottom w:val="single" w:color="000000" w:sz="12" w:space="0"/>
              <w:right w:val="nil"/>
            </w:tcBorders>
            <w:shd w:val="clear" w:color="auto" w:fill="FFFFFF"/>
            <w:vAlign w:val="center"/>
          </w:tcPr>
          <w:p w14:paraId="03347D5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ROC Youden 最优点，确诊率最高</w:t>
            </w:r>
          </w:p>
        </w:tc>
      </w:tr>
    </w:tbl>
    <w:p w14:paraId="2D547EA5">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风险等级分布结果</w:t>
      </w:r>
    </w:p>
    <w:p w14:paraId="519838AC">
      <w:pPr>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10</w:t>
      </w:r>
      <w:r>
        <w:rPr>
          <w:rFonts w:hint="eastAsia" w:ascii="Times New Roman" w:hAnsi="Times New Roman" w:eastAsia="宋体" w:cs="Times New Roman"/>
          <w:sz w:val="20"/>
          <w:szCs w:val="20"/>
          <w:lang w:eastAsia="zh-CN"/>
        </w:rPr>
        <w:t xml:space="preserve"> 三级风险样本分布与实际患病率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050D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tcBorders>
              <w:top w:val="single" w:color="000000" w:sz="12" w:space="0"/>
              <w:left w:val="nil"/>
              <w:bottom w:val="single" w:color="000000" w:sz="4" w:space="0"/>
              <w:right w:val="nil"/>
              <w:tl2br w:val="nil"/>
            </w:tcBorders>
            <w:shd w:val="clear" w:color="auto" w:fill="FFFFFF"/>
            <w:vAlign w:val="center"/>
          </w:tcPr>
          <w:p w14:paraId="38FF42A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风险等级</w:t>
            </w:r>
          </w:p>
        </w:tc>
        <w:tc>
          <w:tcPr>
            <w:tcW w:w="2321" w:type="dxa"/>
            <w:tcBorders>
              <w:top w:val="single" w:color="000000" w:sz="12" w:space="0"/>
              <w:left w:val="nil"/>
              <w:bottom w:val="single" w:color="000000" w:sz="4" w:space="0"/>
              <w:right w:val="nil"/>
            </w:tcBorders>
            <w:shd w:val="clear" w:color="auto" w:fill="FFFFFF"/>
            <w:vAlign w:val="center"/>
          </w:tcPr>
          <w:p w14:paraId="33E7FB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样本数 n</w:t>
            </w:r>
          </w:p>
        </w:tc>
        <w:tc>
          <w:tcPr>
            <w:tcW w:w="2322" w:type="dxa"/>
            <w:tcBorders>
              <w:top w:val="single" w:color="000000" w:sz="12" w:space="0"/>
              <w:left w:val="nil"/>
              <w:bottom w:val="single" w:color="000000" w:sz="4" w:space="0"/>
              <w:right w:val="nil"/>
            </w:tcBorders>
            <w:shd w:val="clear" w:color="auto" w:fill="FFFFFF"/>
            <w:vAlign w:val="center"/>
          </w:tcPr>
          <w:p w14:paraId="15F0119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确诊人数</w:t>
            </w:r>
          </w:p>
        </w:tc>
        <w:tc>
          <w:tcPr>
            <w:tcW w:w="2322" w:type="dxa"/>
            <w:tcBorders>
              <w:top w:val="single" w:color="000000" w:sz="12" w:space="0"/>
              <w:left w:val="nil"/>
              <w:bottom w:val="single" w:color="000000" w:sz="4" w:space="0"/>
              <w:right w:val="nil"/>
            </w:tcBorders>
            <w:shd w:val="clear" w:color="auto" w:fill="FFFFFF"/>
            <w:vAlign w:val="center"/>
          </w:tcPr>
          <w:p w14:paraId="0A0BDD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实际患病率</w:t>
            </w:r>
          </w:p>
        </w:tc>
      </w:tr>
      <w:tr w14:paraId="0C77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4" w:space="0"/>
              <w:left w:val="nil"/>
              <w:bottom w:val="nil"/>
              <w:right w:val="nil"/>
            </w:tcBorders>
            <w:shd w:val="clear" w:color="auto" w:fill="FFFFFF"/>
            <w:vAlign w:val="center"/>
          </w:tcPr>
          <w:p w14:paraId="5F36B3D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321" w:type="dxa"/>
            <w:tcBorders>
              <w:top w:val="single" w:color="000000" w:sz="4" w:space="0"/>
              <w:left w:val="nil"/>
              <w:bottom w:val="nil"/>
              <w:right w:val="nil"/>
            </w:tcBorders>
            <w:shd w:val="clear" w:color="auto" w:fill="FFFFFF"/>
            <w:vAlign w:val="center"/>
          </w:tcPr>
          <w:p w14:paraId="6C6796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170</w:t>
            </w:r>
          </w:p>
        </w:tc>
        <w:tc>
          <w:tcPr>
            <w:tcW w:w="2322" w:type="dxa"/>
            <w:tcBorders>
              <w:top w:val="single" w:color="000000" w:sz="4" w:space="0"/>
              <w:left w:val="nil"/>
              <w:bottom w:val="nil"/>
              <w:right w:val="nil"/>
            </w:tcBorders>
            <w:shd w:val="clear" w:color="auto" w:fill="FFFFFF"/>
            <w:vAlign w:val="center"/>
          </w:tcPr>
          <w:p w14:paraId="75F2244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15</w:t>
            </w:r>
          </w:p>
        </w:tc>
        <w:tc>
          <w:tcPr>
            <w:tcW w:w="2322" w:type="dxa"/>
            <w:tcBorders>
              <w:top w:val="single" w:color="000000" w:sz="4" w:space="0"/>
              <w:left w:val="nil"/>
              <w:bottom w:val="nil"/>
              <w:right w:val="nil"/>
            </w:tcBorders>
            <w:shd w:val="clear" w:color="auto" w:fill="FFFFFF"/>
            <w:vAlign w:val="center"/>
          </w:tcPr>
          <w:p w14:paraId="44FE7E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8.82%</w:t>
            </w:r>
          </w:p>
        </w:tc>
      </w:tr>
      <w:tr w14:paraId="61F1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732137A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321" w:type="dxa"/>
            <w:tcBorders>
              <w:top w:val="nil"/>
              <w:left w:val="nil"/>
              <w:bottom w:val="nil"/>
              <w:right w:val="nil"/>
            </w:tcBorders>
            <w:shd w:val="clear" w:color="auto" w:fill="FFFFFF"/>
            <w:vAlign w:val="center"/>
          </w:tcPr>
          <w:p w14:paraId="0399D71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108</w:t>
            </w:r>
          </w:p>
        </w:tc>
        <w:tc>
          <w:tcPr>
            <w:tcW w:w="2322" w:type="dxa"/>
            <w:tcBorders>
              <w:top w:val="nil"/>
              <w:left w:val="nil"/>
              <w:bottom w:val="nil"/>
              <w:right w:val="nil"/>
            </w:tcBorders>
            <w:shd w:val="clear" w:color="auto" w:fill="FFFFFF"/>
            <w:vAlign w:val="center"/>
          </w:tcPr>
          <w:p w14:paraId="59F80A0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64</w:t>
            </w:r>
          </w:p>
        </w:tc>
        <w:tc>
          <w:tcPr>
            <w:tcW w:w="2322" w:type="dxa"/>
            <w:tcBorders>
              <w:top w:val="nil"/>
              <w:left w:val="nil"/>
              <w:bottom w:val="nil"/>
              <w:right w:val="nil"/>
            </w:tcBorders>
            <w:shd w:val="clear" w:color="auto" w:fill="FFFFFF"/>
            <w:vAlign w:val="center"/>
          </w:tcPr>
          <w:p w14:paraId="199E77B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59.26%</w:t>
            </w:r>
          </w:p>
        </w:tc>
      </w:tr>
      <w:tr w14:paraId="57BC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000000" w:sz="12" w:space="0"/>
              <w:right w:val="nil"/>
            </w:tcBorders>
            <w:shd w:val="clear" w:color="auto" w:fill="FFFFFF"/>
            <w:vAlign w:val="center"/>
          </w:tcPr>
          <w:p w14:paraId="011784CB">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高风险</w:t>
            </w:r>
          </w:p>
        </w:tc>
        <w:tc>
          <w:tcPr>
            <w:tcW w:w="2321" w:type="dxa"/>
            <w:tcBorders>
              <w:top w:val="nil"/>
              <w:left w:val="nil"/>
              <w:bottom w:val="single" w:color="000000" w:sz="12" w:space="0"/>
              <w:right w:val="nil"/>
            </w:tcBorders>
            <w:shd w:val="clear" w:color="auto" w:fill="FFFFFF"/>
            <w:vAlign w:val="center"/>
          </w:tcPr>
          <w:p w14:paraId="258E7736">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722</w:t>
            </w:r>
          </w:p>
        </w:tc>
        <w:tc>
          <w:tcPr>
            <w:tcW w:w="2322" w:type="dxa"/>
            <w:tcBorders>
              <w:top w:val="nil"/>
              <w:left w:val="nil"/>
              <w:bottom w:val="single" w:color="000000" w:sz="12" w:space="0"/>
              <w:right w:val="nil"/>
            </w:tcBorders>
            <w:shd w:val="clear" w:color="auto" w:fill="FFFFFF"/>
            <w:vAlign w:val="center"/>
          </w:tcPr>
          <w:p w14:paraId="592C054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714</w:t>
            </w:r>
          </w:p>
        </w:tc>
        <w:tc>
          <w:tcPr>
            <w:tcW w:w="2322" w:type="dxa"/>
            <w:tcBorders>
              <w:top w:val="nil"/>
              <w:left w:val="nil"/>
              <w:bottom w:val="single" w:color="000000" w:sz="12" w:space="0"/>
              <w:right w:val="nil"/>
            </w:tcBorders>
            <w:shd w:val="clear" w:color="auto" w:fill="FFFFFF"/>
            <w:vAlign w:val="center"/>
          </w:tcPr>
          <w:p w14:paraId="0FED4399">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98.89%</w:t>
            </w:r>
          </w:p>
        </w:tc>
      </w:tr>
    </w:tbl>
    <w:p w14:paraId="0E82068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高风险组患病率接近99%，低风险组不足9%，分层效果优异。</w:t>
      </w:r>
    </w:p>
    <w:p w14:paraId="590B4D52">
      <w:pPr>
        <w:ind w:firstLine="440" w:firstLineChars="200"/>
        <w:jc w:val="left"/>
        <w:rPr>
          <w:rFonts w:hint="eastAsia" w:ascii="Times New Roman" w:hAnsi="Times New Roman" w:eastAsia="宋体" w:cs="Times New Roman"/>
          <w:sz w:val="22"/>
          <w:szCs w:val="22"/>
          <w:lang w:eastAsia="zh-CN"/>
        </w:rPr>
      </w:pPr>
    </w:p>
    <w:p w14:paraId="6E9AB554">
      <w:pPr>
        <w:jc w:val="left"/>
        <w:outlineLvl w:val="2"/>
        <w:rPr>
          <w:rFonts w:hint="eastAsia" w:ascii="Times New Roman" w:hAnsi="Times New Roman" w:eastAsia="宋体" w:cs="Times New Roman"/>
          <w:sz w:val="22"/>
          <w:szCs w:val="22"/>
          <w:lang w:eastAsia="zh-CN"/>
        </w:rPr>
      </w:pPr>
      <w:bookmarkStart w:id="61" w:name="_Toc16788"/>
      <w:bookmarkStart w:id="62" w:name="_Toc25118"/>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.4 决策树提取特征分层阈值规则</w:t>
      </w:r>
      <w:bookmarkEnd w:id="61"/>
      <w:bookmarkEnd w:id="62"/>
    </w:p>
    <w:p w14:paraId="70B5EEB1">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以三级风险为标签，构建CART 决策树（max_depth=4，min_samples_leaf=20），训练准确率0.9010。</w:t>
      </w:r>
    </w:p>
    <w:p w14:paraId="4D6FC799">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决策树结构（文本化）</w:t>
      </w:r>
    </w:p>
    <w:p w14:paraId="0F8FB40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TG &lt;= 1.92</w:t>
      </w:r>
    </w:p>
    <w:p w14:paraId="073DFE5C">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&lt;= 6.16</w:t>
      </w:r>
    </w:p>
    <w:p w14:paraId="511F1FA4">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1.41</w:t>
      </w:r>
    </w:p>
    <w:p w14:paraId="3BA6180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5.38: 低风险</w:t>
      </w:r>
    </w:p>
    <w:p w14:paraId="533B109F">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5.38: 中风险</w:t>
      </w:r>
    </w:p>
    <w:p w14:paraId="071EE273">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1.41</w:t>
      </w:r>
    </w:p>
    <w:p w14:paraId="7059FFA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血尿酸 &lt;= 383.50: 中风险</w:t>
      </w:r>
    </w:p>
    <w:p w14:paraId="55210FF6">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血尿酸 &gt; 383.50: 高风险</w:t>
      </w:r>
    </w:p>
    <w:p w14:paraId="0DB24B6C">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&gt; 6.16</w:t>
      </w:r>
    </w:p>
    <w:p w14:paraId="7981EEB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0.87</w:t>
      </w:r>
    </w:p>
    <w:p w14:paraId="7F82165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7.00: 中风险</w:t>
      </w:r>
    </w:p>
    <w:p w14:paraId="39243E14">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7.00: 高风险</w:t>
      </w:r>
    </w:p>
    <w:p w14:paraId="3BC9587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0.87</w:t>
      </w:r>
    </w:p>
    <w:p w14:paraId="4E5F8BB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6.36: 高风险</w:t>
      </w:r>
    </w:p>
    <w:p w14:paraId="0A0E1EC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6.36: 高风险</w:t>
      </w:r>
    </w:p>
    <w:p w14:paraId="28FA617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TG &gt; 1.92</w:t>
      </w:r>
    </w:p>
    <w:p w14:paraId="6692D85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&lt;= 3.66</w:t>
      </w:r>
    </w:p>
    <w:p w14:paraId="4AA9C67A">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2.36: 高风险</w:t>
      </w:r>
    </w:p>
    <w:p w14:paraId="18F0CC4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2.36: 高风险</w:t>
      </w:r>
    </w:p>
    <w:p w14:paraId="758E560D">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&gt; 3.66</w:t>
      </w:r>
    </w:p>
    <w:p w14:paraId="5030D9A0">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2.01: 高风险</w:t>
      </w:r>
    </w:p>
    <w:p w14:paraId="00A880C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2.01: 高风险</w:t>
      </w:r>
    </w:p>
    <w:p w14:paraId="0DDFBD3C">
      <w:pPr>
        <w:ind w:firstLine="440" w:firstLineChars="200"/>
        <w:jc w:val="left"/>
        <w:rPr>
          <w:rFonts w:hint="eastAsia" w:ascii="Times New Roman" w:hAnsi="Times New Roman" w:eastAsia="宋体" w:cs="Times New Roman"/>
          <w:sz w:val="22"/>
          <w:szCs w:val="22"/>
          <w:lang w:eastAsia="zh-CN"/>
        </w:rPr>
      </w:pPr>
    </w:p>
    <w:p w14:paraId="26181E6F">
      <w:pPr>
        <w:ind w:firstLine="440" w:firstLineChars="200"/>
        <w:jc w:val="left"/>
        <w:rPr>
          <w:rFonts w:hint="eastAsia" w:ascii="Times New Roman" w:hAnsi="Times New Roman" w:eastAsia="宋体" w:cs="Times New Roman"/>
          <w:sz w:val="22"/>
          <w:szCs w:val="22"/>
          <w:lang w:eastAsia="zh-CN"/>
        </w:rPr>
      </w:pPr>
    </w:p>
    <w:p w14:paraId="593F1497">
      <w:pPr>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8815" cy="3444240"/>
            <wp:effectExtent l="0" t="0" r="6985" b="10160"/>
            <wp:docPr id="10" name="图片 10" descr="C:/Users/Kandao/Desktop/bisai/MathorCup_2026_C_Project/output/q2_1/decision_tree.png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Kandao/Desktop/bisai/MathorCup_2026_C_Project/output/q2_1/decision_tree.pngdecision_tree"/>
                    <pic:cNvPicPr>
                      <a:picLocks noChangeAspect="1"/>
                    </pic:cNvPicPr>
                  </pic:nvPicPr>
                  <pic:blipFill>
                    <a:blip r:embed="rId16"/>
                    <a:srcRect l="9" r="9"/>
                    <a:stretch>
                      <a:fillRect/>
                    </a:stretch>
                  </pic:blipFill>
                  <pic:spPr>
                    <a:xfrm>
                      <a:off x="0" y="0"/>
                      <a:ext cx="5758815" cy="3444240"/>
                    </a:xfrm>
                    <a:prstGeom prst="rect">
                      <a:avLst/>
                    </a:prstGeom>
                  </pic:spPr>
                </pic:pic>
              </a:graphicData>
            </a:graphic>
          </wp:inline>
        </w:drawing>
      </w:r>
    </w:p>
    <w:p w14:paraId="7E93116B">
      <w:pPr>
        <w:ind w:firstLine="400" w:firstLineChars="200"/>
        <w:jc w:val="center"/>
        <w:rPr>
          <w:rFonts w:hint="eastAsia" w:ascii="Times New Roman" w:hAnsi="Times New Roman" w:eastAsia="宋体" w:cs="Times New Roman"/>
          <w:sz w:val="20"/>
          <w:szCs w:val="20"/>
          <w:lang w:eastAsia="zh-CN"/>
        </w:rPr>
      </w:pPr>
      <w:r>
        <w:rPr>
          <w:rFonts w:hint="eastAsia" w:cs="Times New Roman"/>
          <w:sz w:val="20"/>
          <w:szCs w:val="20"/>
          <w:lang w:val="en-US" w:eastAsia="zh-CN"/>
        </w:rPr>
        <w:t>图</w:t>
      </w:r>
      <w:r>
        <w:rPr>
          <w:rFonts w:hint="eastAsia" w:ascii="Times New Roman" w:hAnsi="Times New Roman" w:eastAsia="宋体" w:cs="Times New Roman"/>
          <w:sz w:val="20"/>
          <w:szCs w:val="20"/>
          <w:lang w:val="en-US" w:eastAsia="zh-CN"/>
        </w:rPr>
        <w:t>10</w:t>
      </w:r>
      <w:r>
        <w:rPr>
          <w:rFonts w:hint="eastAsia" w:ascii="Times New Roman" w:hAnsi="Times New Roman" w:eastAsia="宋体" w:cs="Times New Roman"/>
          <w:sz w:val="20"/>
          <w:szCs w:val="20"/>
          <w:lang w:eastAsia="zh-CN"/>
        </w:rPr>
        <w:t xml:space="preserve"> 高血脂三级风险决策树可视化</w:t>
      </w:r>
    </w:p>
    <w:p w14:paraId="18A4BF84">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各级风险显式判定规则</w:t>
      </w:r>
    </w:p>
    <w:p w14:paraId="65A8C908">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低风险规则（唯一）</w:t>
      </w:r>
    </w:p>
    <w:p w14:paraId="274176AD">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1.92 且 TC ≤ 6.16 且 TG ≤ 1.41 且 TC ≤ 5.38，置信度 93.10%</w:t>
      </w:r>
    </w:p>
    <w:p w14:paraId="0B25ABB6">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中风险规则（3 条）</w:t>
      </w:r>
    </w:p>
    <w:p w14:paraId="45EA3EA9">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1.92 且 TC ≤ 6.16 且 TG ≤ 1.41 且 TC &gt; 5.38</w:t>
      </w:r>
      <w:r>
        <w:rPr>
          <w:rFonts w:hint="eastAsia" w:cs="Times New Roman"/>
          <w:sz w:val="22"/>
          <w:szCs w:val="22"/>
          <w:lang w:eastAsia="zh-CN"/>
        </w:rPr>
        <w:t>，</w:t>
      </w:r>
      <w:r>
        <w:rPr>
          <w:rFonts w:hint="eastAsia" w:ascii="Times New Roman" w:hAnsi="Times New Roman" w:eastAsia="宋体" w:cs="Times New Roman"/>
          <w:sz w:val="22"/>
          <w:szCs w:val="22"/>
          <w:lang w:eastAsia="zh-CN"/>
        </w:rPr>
        <w:t xml:space="preserve">置信度 </w:t>
      </w:r>
      <w:r>
        <w:rPr>
          <w:rFonts w:hint="eastAsia" w:cs="Times New Roman"/>
          <w:sz w:val="22"/>
          <w:szCs w:val="22"/>
          <w:lang w:val="en-US" w:eastAsia="zh-CN"/>
        </w:rPr>
        <w:t>60</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71</w:t>
      </w:r>
      <w:r>
        <w:rPr>
          <w:rFonts w:hint="eastAsia" w:ascii="Times New Roman" w:hAnsi="Times New Roman" w:eastAsia="宋体" w:cs="Times New Roman"/>
          <w:sz w:val="22"/>
          <w:szCs w:val="22"/>
          <w:lang w:eastAsia="zh-CN"/>
        </w:rPr>
        <w:t>%</w:t>
      </w:r>
    </w:p>
    <w:p w14:paraId="2B79DE2A">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1.92 且 TC ≤ 6.16 且 TG &gt; 1.41 且 血尿酸 ≤ 383.50</w:t>
      </w:r>
      <w:r>
        <w:rPr>
          <w:rFonts w:hint="eastAsia" w:cs="Times New Roman"/>
          <w:sz w:val="22"/>
          <w:szCs w:val="22"/>
          <w:lang w:eastAsia="zh-CN"/>
        </w:rPr>
        <w:t>，</w:t>
      </w:r>
      <w:r>
        <w:rPr>
          <w:rFonts w:hint="eastAsia" w:ascii="Times New Roman" w:hAnsi="Times New Roman" w:eastAsia="宋体" w:cs="Times New Roman"/>
          <w:sz w:val="22"/>
          <w:szCs w:val="22"/>
          <w:lang w:eastAsia="zh-CN"/>
        </w:rPr>
        <w:t xml:space="preserve">置信度 </w:t>
      </w:r>
      <w:r>
        <w:rPr>
          <w:rFonts w:hint="eastAsia" w:cs="Times New Roman"/>
          <w:sz w:val="22"/>
          <w:szCs w:val="22"/>
          <w:lang w:val="en-US" w:eastAsia="zh-CN"/>
        </w:rPr>
        <w:t>61</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54</w:t>
      </w:r>
      <w:r>
        <w:rPr>
          <w:rFonts w:hint="eastAsia" w:ascii="Times New Roman" w:hAnsi="Times New Roman" w:eastAsia="宋体" w:cs="Times New Roman"/>
          <w:sz w:val="22"/>
          <w:szCs w:val="22"/>
          <w:lang w:eastAsia="zh-CN"/>
        </w:rPr>
        <w:t>%</w:t>
      </w:r>
    </w:p>
    <w:p w14:paraId="013FAFD1">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1.92 且 TC &gt; 6.16 且 TG ≤ 0.87 且 TC ≤ 7.00</w:t>
      </w:r>
      <w:r>
        <w:rPr>
          <w:rFonts w:hint="eastAsia" w:cs="Times New Roman"/>
          <w:sz w:val="22"/>
          <w:szCs w:val="22"/>
          <w:lang w:eastAsia="zh-CN"/>
        </w:rPr>
        <w:t>，</w:t>
      </w:r>
      <w:r>
        <w:rPr>
          <w:rFonts w:hint="eastAsia" w:ascii="Times New Roman" w:hAnsi="Times New Roman" w:eastAsia="宋体" w:cs="Times New Roman"/>
          <w:sz w:val="22"/>
          <w:szCs w:val="22"/>
          <w:lang w:eastAsia="zh-CN"/>
        </w:rPr>
        <w:t xml:space="preserve">置信度 </w:t>
      </w:r>
      <w:r>
        <w:rPr>
          <w:rFonts w:hint="eastAsia" w:cs="Times New Roman"/>
          <w:sz w:val="22"/>
          <w:szCs w:val="22"/>
          <w:lang w:val="en-US" w:eastAsia="zh-CN"/>
        </w:rPr>
        <w:t>48</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28</w:t>
      </w:r>
      <w:r>
        <w:rPr>
          <w:rFonts w:hint="eastAsia" w:ascii="Times New Roman" w:hAnsi="Times New Roman" w:eastAsia="宋体" w:cs="Times New Roman"/>
          <w:sz w:val="22"/>
          <w:szCs w:val="22"/>
          <w:lang w:eastAsia="zh-CN"/>
        </w:rPr>
        <w:t>%</w:t>
      </w:r>
    </w:p>
    <w:p w14:paraId="558B7420">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高风险规则（核心 4 条）</w:t>
      </w:r>
    </w:p>
    <w:p w14:paraId="7642091B">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1.92 且 TC &gt; 6.16 且 TG &gt; 0.87 且 TC &gt; 6.36，置信度 97.96%</w:t>
      </w:r>
    </w:p>
    <w:p w14:paraId="7381D429">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&gt; 1.92 且 TC ≤ 3.66 且 TG &gt; 2.36，置信度 100</w:t>
      </w:r>
      <w:r>
        <w:rPr>
          <w:rFonts w:hint="eastAsia" w:cs="Times New Roman"/>
          <w:sz w:val="22"/>
          <w:szCs w:val="22"/>
          <w:lang w:val="en-US" w:eastAsia="zh-CN"/>
        </w:rPr>
        <w:t>.00</w:t>
      </w:r>
      <w:r>
        <w:rPr>
          <w:rFonts w:hint="eastAsia" w:ascii="Times New Roman" w:hAnsi="Times New Roman" w:eastAsia="宋体" w:cs="Times New Roman"/>
          <w:sz w:val="22"/>
          <w:szCs w:val="22"/>
          <w:lang w:eastAsia="zh-CN"/>
        </w:rPr>
        <w:t>%</w:t>
      </w:r>
    </w:p>
    <w:p w14:paraId="6812300D">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xml:space="preserve">TG &gt; 1.92 且 TC &gt; 3.66 且 TG ≤ 2.01，置信度 </w:t>
      </w:r>
      <w:r>
        <w:rPr>
          <w:rFonts w:hint="eastAsia" w:cs="Times New Roman"/>
          <w:sz w:val="22"/>
          <w:szCs w:val="22"/>
          <w:lang w:val="en-US" w:eastAsia="zh-CN"/>
        </w:rPr>
        <w:t>95.00</w:t>
      </w:r>
      <w:r>
        <w:rPr>
          <w:rFonts w:hint="eastAsia" w:ascii="Times New Roman" w:hAnsi="Times New Roman" w:eastAsia="宋体" w:cs="Times New Roman"/>
          <w:sz w:val="22"/>
          <w:szCs w:val="22"/>
          <w:lang w:eastAsia="zh-CN"/>
        </w:rPr>
        <w:t>%</w:t>
      </w:r>
    </w:p>
    <w:p w14:paraId="0C8F60FC">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&gt; 1.92 且 TC &gt; 3.66 且 TG &gt; 2.01</w:t>
      </w:r>
      <w:r>
        <w:rPr>
          <w:rFonts w:hint="eastAsia" w:cs="Times New Roman"/>
          <w:sz w:val="22"/>
          <w:szCs w:val="22"/>
          <w:lang w:eastAsia="zh-CN"/>
        </w:rPr>
        <w:t>，</w:t>
      </w:r>
      <w:r>
        <w:rPr>
          <w:rFonts w:hint="eastAsia" w:ascii="Times New Roman" w:hAnsi="Times New Roman" w:eastAsia="宋体" w:cs="Times New Roman"/>
          <w:sz w:val="22"/>
          <w:szCs w:val="22"/>
          <w:lang w:eastAsia="zh-CN"/>
        </w:rPr>
        <w:t>置信度 100</w:t>
      </w:r>
      <w:r>
        <w:rPr>
          <w:rFonts w:hint="eastAsia" w:cs="Times New Roman"/>
          <w:sz w:val="22"/>
          <w:szCs w:val="22"/>
          <w:lang w:val="en-US" w:eastAsia="zh-CN"/>
        </w:rPr>
        <w:t>.00</w:t>
      </w:r>
      <w:r>
        <w:rPr>
          <w:rFonts w:hint="eastAsia" w:ascii="Times New Roman" w:hAnsi="Times New Roman" w:eastAsia="宋体" w:cs="Times New Roman"/>
          <w:sz w:val="22"/>
          <w:szCs w:val="22"/>
          <w:lang w:eastAsia="zh-CN"/>
        </w:rPr>
        <w:t>%</w:t>
      </w:r>
    </w:p>
    <w:p w14:paraId="1B9BCD48">
      <w:pPr>
        <w:jc w:val="left"/>
        <w:outlineLvl w:val="2"/>
        <w:rPr>
          <w:rFonts w:hint="eastAsia" w:ascii="Times New Roman" w:hAnsi="Times New Roman" w:eastAsia="宋体" w:cs="Times New Roman"/>
          <w:sz w:val="22"/>
          <w:szCs w:val="22"/>
          <w:lang w:eastAsia="zh-CN"/>
        </w:rPr>
      </w:pPr>
      <w:bookmarkStart w:id="63" w:name="_Toc28588"/>
      <w:bookmarkStart w:id="64" w:name="_Toc11353"/>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.5 关键特征在各风险等级均值对比</w:t>
      </w:r>
      <w:bookmarkEnd w:id="63"/>
      <w:bookmarkEnd w:id="64"/>
    </w:p>
    <w:p w14:paraId="74E48890">
      <w:pPr>
        <w:jc w:val="left"/>
        <w:rPr>
          <w:rFonts w:hint="eastAsia" w:ascii="Times New Roman" w:hAnsi="Times New Roman" w:eastAsia="宋体" w:cs="Times New Roman"/>
          <w:sz w:val="20"/>
          <w:szCs w:val="20"/>
          <w:lang w:eastAsia="zh-CN"/>
        </w:rPr>
      </w:pPr>
    </w:p>
    <w:p w14:paraId="20604E6F">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11</w:t>
      </w:r>
      <w:r>
        <w:rPr>
          <w:rFonts w:hint="eastAsia" w:ascii="Times New Roman" w:hAnsi="Times New Roman" w:eastAsia="宋体" w:cs="Times New Roman"/>
          <w:sz w:val="20"/>
          <w:szCs w:val="20"/>
          <w:lang w:eastAsia="zh-CN"/>
        </w:rPr>
        <w:t xml:space="preserve"> 关键指标在低/中/高风险组的均值对比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4E1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12" w:space="0"/>
              <w:left w:val="nil"/>
              <w:bottom w:val="single" w:color="000000" w:sz="4" w:space="0"/>
              <w:right w:val="nil"/>
              <w:tl2br w:val="nil"/>
            </w:tcBorders>
            <w:shd w:val="clear" w:color="auto" w:fill="FFFFFF"/>
            <w:vAlign w:val="center"/>
          </w:tcPr>
          <w:p w14:paraId="6BA37D3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2321" w:type="dxa"/>
            <w:tcBorders>
              <w:top w:val="single" w:color="000000" w:sz="12" w:space="0"/>
              <w:left w:val="nil"/>
              <w:bottom w:val="single" w:color="000000" w:sz="4" w:space="0"/>
              <w:right w:val="nil"/>
            </w:tcBorders>
            <w:shd w:val="clear" w:color="auto" w:fill="FFFFFF"/>
            <w:vAlign w:val="center"/>
          </w:tcPr>
          <w:p w14:paraId="3489A38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322" w:type="dxa"/>
            <w:tcBorders>
              <w:top w:val="single" w:color="000000" w:sz="12" w:space="0"/>
              <w:left w:val="nil"/>
              <w:bottom w:val="single" w:color="000000" w:sz="4" w:space="0"/>
              <w:right w:val="nil"/>
            </w:tcBorders>
            <w:shd w:val="clear" w:color="auto" w:fill="FFFFFF"/>
            <w:vAlign w:val="center"/>
          </w:tcPr>
          <w:p w14:paraId="4AB680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322" w:type="dxa"/>
            <w:tcBorders>
              <w:top w:val="single" w:color="000000" w:sz="12" w:space="0"/>
              <w:left w:val="nil"/>
              <w:bottom w:val="single" w:color="000000" w:sz="4" w:space="0"/>
              <w:right w:val="nil"/>
            </w:tcBorders>
            <w:shd w:val="clear" w:color="auto" w:fill="FFFFFF"/>
            <w:vAlign w:val="center"/>
          </w:tcPr>
          <w:p w14:paraId="53F2226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w:t>
            </w:r>
          </w:p>
        </w:tc>
      </w:tr>
      <w:tr w14:paraId="6B9D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4" w:space="0"/>
              <w:left w:val="nil"/>
              <w:bottom w:val="nil"/>
              <w:right w:val="nil"/>
            </w:tcBorders>
            <w:shd w:val="clear" w:color="auto" w:fill="FFFFFF"/>
            <w:vAlign w:val="center"/>
          </w:tcPr>
          <w:p w14:paraId="12CF996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痰湿质</w:t>
            </w:r>
          </w:p>
        </w:tc>
        <w:tc>
          <w:tcPr>
            <w:tcW w:w="2321" w:type="dxa"/>
            <w:tcBorders>
              <w:top w:val="single" w:color="000000" w:sz="4" w:space="0"/>
              <w:left w:val="nil"/>
              <w:bottom w:val="nil"/>
              <w:right w:val="nil"/>
            </w:tcBorders>
            <w:shd w:val="clear" w:color="auto" w:fill="FFFFFF"/>
            <w:vAlign w:val="center"/>
          </w:tcPr>
          <w:p w14:paraId="71FA4A6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33.85</w:t>
            </w:r>
          </w:p>
        </w:tc>
        <w:tc>
          <w:tcPr>
            <w:tcW w:w="2322" w:type="dxa"/>
            <w:tcBorders>
              <w:top w:val="single" w:color="000000" w:sz="4" w:space="0"/>
              <w:left w:val="nil"/>
              <w:bottom w:val="nil"/>
              <w:right w:val="nil"/>
            </w:tcBorders>
            <w:shd w:val="clear" w:color="auto" w:fill="FFFFFF"/>
            <w:vAlign w:val="center"/>
          </w:tcPr>
          <w:p w14:paraId="2CB3A5C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30.15</w:t>
            </w:r>
          </w:p>
        </w:tc>
        <w:tc>
          <w:tcPr>
            <w:tcW w:w="2322" w:type="dxa"/>
            <w:tcBorders>
              <w:top w:val="single" w:color="000000" w:sz="4" w:space="0"/>
              <w:left w:val="nil"/>
              <w:bottom w:val="nil"/>
              <w:right w:val="nil"/>
            </w:tcBorders>
            <w:shd w:val="clear" w:color="auto" w:fill="FFFFFF"/>
            <w:vAlign w:val="center"/>
          </w:tcPr>
          <w:p w14:paraId="2CE5C2E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33.20</w:t>
            </w:r>
          </w:p>
        </w:tc>
      </w:tr>
      <w:tr w14:paraId="28E0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41F9E59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TC（总胆固醇）</w:t>
            </w:r>
          </w:p>
        </w:tc>
        <w:tc>
          <w:tcPr>
            <w:tcW w:w="2321" w:type="dxa"/>
            <w:tcBorders>
              <w:top w:val="nil"/>
              <w:left w:val="nil"/>
              <w:bottom w:val="nil"/>
              <w:right w:val="nil"/>
            </w:tcBorders>
            <w:shd w:val="clear" w:color="auto" w:fill="FFFFFF"/>
            <w:vAlign w:val="center"/>
          </w:tcPr>
          <w:p w14:paraId="32CBAB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4.06</w:t>
            </w:r>
          </w:p>
        </w:tc>
        <w:tc>
          <w:tcPr>
            <w:tcW w:w="2322" w:type="dxa"/>
            <w:tcBorders>
              <w:top w:val="nil"/>
              <w:left w:val="nil"/>
              <w:bottom w:val="nil"/>
              <w:right w:val="nil"/>
            </w:tcBorders>
            <w:shd w:val="clear" w:color="auto" w:fill="FFFFFF"/>
            <w:vAlign w:val="center"/>
          </w:tcPr>
          <w:p w14:paraId="75A8CB9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5.18</w:t>
            </w:r>
          </w:p>
        </w:tc>
        <w:tc>
          <w:tcPr>
            <w:tcW w:w="2322" w:type="dxa"/>
            <w:tcBorders>
              <w:top w:val="nil"/>
              <w:left w:val="nil"/>
              <w:bottom w:val="nil"/>
              <w:right w:val="nil"/>
            </w:tcBorders>
            <w:shd w:val="clear" w:color="auto" w:fill="FFFFFF"/>
            <w:vAlign w:val="center"/>
          </w:tcPr>
          <w:p w14:paraId="64673A8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6.45</w:t>
            </w:r>
          </w:p>
        </w:tc>
      </w:tr>
      <w:tr w14:paraId="61AA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2ED1382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TG（甘油三酯）</w:t>
            </w:r>
          </w:p>
        </w:tc>
        <w:tc>
          <w:tcPr>
            <w:tcW w:w="2321" w:type="dxa"/>
            <w:tcBorders>
              <w:top w:val="nil"/>
              <w:left w:val="nil"/>
              <w:bottom w:val="nil"/>
              <w:right w:val="nil"/>
            </w:tcBorders>
            <w:shd w:val="clear" w:color="auto" w:fill="FFFFFF"/>
            <w:vAlign w:val="center"/>
          </w:tcPr>
          <w:p w14:paraId="0AC38F3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0.88</w:t>
            </w:r>
          </w:p>
        </w:tc>
        <w:tc>
          <w:tcPr>
            <w:tcW w:w="2322" w:type="dxa"/>
            <w:tcBorders>
              <w:top w:val="nil"/>
              <w:left w:val="nil"/>
              <w:bottom w:val="nil"/>
              <w:right w:val="nil"/>
            </w:tcBorders>
            <w:shd w:val="clear" w:color="auto" w:fill="FFFFFF"/>
            <w:vAlign w:val="center"/>
          </w:tcPr>
          <w:p w14:paraId="5C27480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1.31</w:t>
            </w:r>
          </w:p>
        </w:tc>
        <w:tc>
          <w:tcPr>
            <w:tcW w:w="2322" w:type="dxa"/>
            <w:tcBorders>
              <w:top w:val="nil"/>
              <w:left w:val="nil"/>
              <w:bottom w:val="nil"/>
              <w:right w:val="nil"/>
            </w:tcBorders>
            <w:shd w:val="clear" w:color="auto" w:fill="FFFFFF"/>
            <w:vAlign w:val="center"/>
          </w:tcPr>
          <w:p w14:paraId="7ADE0A1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2.21</w:t>
            </w:r>
          </w:p>
        </w:tc>
      </w:tr>
      <w:tr w14:paraId="59F4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572CF98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LDL-C</w:t>
            </w:r>
          </w:p>
        </w:tc>
        <w:tc>
          <w:tcPr>
            <w:tcW w:w="2321" w:type="dxa"/>
            <w:tcBorders>
              <w:top w:val="nil"/>
              <w:left w:val="nil"/>
              <w:bottom w:val="nil"/>
              <w:right w:val="nil"/>
            </w:tcBorders>
            <w:shd w:val="clear" w:color="auto" w:fill="FFFFFF"/>
            <w:vAlign w:val="center"/>
          </w:tcPr>
          <w:p w14:paraId="084E9A9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2.33</w:t>
            </w:r>
          </w:p>
        </w:tc>
        <w:tc>
          <w:tcPr>
            <w:tcW w:w="2322" w:type="dxa"/>
            <w:tcBorders>
              <w:top w:val="nil"/>
              <w:left w:val="nil"/>
              <w:bottom w:val="nil"/>
              <w:right w:val="nil"/>
            </w:tcBorders>
            <w:shd w:val="clear" w:color="auto" w:fill="FFFFFF"/>
            <w:vAlign w:val="center"/>
          </w:tcPr>
          <w:p w14:paraId="520D498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2.55</w:t>
            </w:r>
          </w:p>
        </w:tc>
        <w:tc>
          <w:tcPr>
            <w:tcW w:w="2322" w:type="dxa"/>
            <w:tcBorders>
              <w:top w:val="nil"/>
              <w:left w:val="nil"/>
              <w:bottom w:val="nil"/>
              <w:right w:val="nil"/>
            </w:tcBorders>
            <w:shd w:val="clear" w:color="auto" w:fill="FFFFFF"/>
            <w:vAlign w:val="center"/>
          </w:tcPr>
          <w:p w14:paraId="7EB7504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2.68</w:t>
            </w:r>
          </w:p>
        </w:tc>
      </w:tr>
      <w:tr w14:paraId="3833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4633A89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HDL-C</w:t>
            </w:r>
          </w:p>
        </w:tc>
        <w:tc>
          <w:tcPr>
            <w:tcW w:w="2321" w:type="dxa"/>
            <w:tcBorders>
              <w:top w:val="nil"/>
              <w:left w:val="nil"/>
              <w:bottom w:val="nil"/>
              <w:right w:val="nil"/>
            </w:tcBorders>
            <w:shd w:val="clear" w:color="auto" w:fill="FFFFFF"/>
            <w:vAlign w:val="center"/>
          </w:tcPr>
          <w:p w14:paraId="17FB7C4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1.40</w:t>
            </w:r>
          </w:p>
        </w:tc>
        <w:tc>
          <w:tcPr>
            <w:tcW w:w="2322" w:type="dxa"/>
            <w:tcBorders>
              <w:top w:val="nil"/>
              <w:left w:val="nil"/>
              <w:bottom w:val="nil"/>
              <w:right w:val="nil"/>
            </w:tcBorders>
            <w:shd w:val="clear" w:color="auto" w:fill="FFFFFF"/>
            <w:vAlign w:val="center"/>
          </w:tcPr>
          <w:p w14:paraId="5C98DED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1.38</w:t>
            </w:r>
          </w:p>
        </w:tc>
        <w:tc>
          <w:tcPr>
            <w:tcW w:w="2322" w:type="dxa"/>
            <w:tcBorders>
              <w:top w:val="nil"/>
              <w:left w:val="nil"/>
              <w:bottom w:val="nil"/>
              <w:right w:val="nil"/>
            </w:tcBorders>
            <w:shd w:val="clear" w:color="auto" w:fill="FFFFFF"/>
            <w:vAlign w:val="center"/>
          </w:tcPr>
          <w:p w14:paraId="7125406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1.27</w:t>
            </w:r>
          </w:p>
        </w:tc>
      </w:tr>
      <w:tr w14:paraId="57DC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2881CC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活动量表总分</w:t>
            </w:r>
          </w:p>
        </w:tc>
        <w:tc>
          <w:tcPr>
            <w:tcW w:w="2321" w:type="dxa"/>
            <w:tcBorders>
              <w:top w:val="nil"/>
              <w:left w:val="nil"/>
              <w:bottom w:val="nil"/>
              <w:right w:val="nil"/>
            </w:tcBorders>
            <w:shd w:val="clear" w:color="auto" w:fill="FFFFFF"/>
            <w:vAlign w:val="center"/>
          </w:tcPr>
          <w:p w14:paraId="2EB9F6E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49.51</w:t>
            </w:r>
          </w:p>
        </w:tc>
        <w:tc>
          <w:tcPr>
            <w:tcW w:w="2322" w:type="dxa"/>
            <w:tcBorders>
              <w:top w:val="nil"/>
              <w:left w:val="nil"/>
              <w:bottom w:val="nil"/>
              <w:right w:val="nil"/>
            </w:tcBorders>
            <w:shd w:val="clear" w:color="auto" w:fill="FFFFFF"/>
            <w:vAlign w:val="center"/>
          </w:tcPr>
          <w:p w14:paraId="1282B3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48.92</w:t>
            </w:r>
          </w:p>
        </w:tc>
        <w:tc>
          <w:tcPr>
            <w:tcW w:w="2322" w:type="dxa"/>
            <w:tcBorders>
              <w:top w:val="nil"/>
              <w:left w:val="nil"/>
              <w:bottom w:val="nil"/>
              <w:right w:val="nil"/>
            </w:tcBorders>
            <w:shd w:val="clear" w:color="auto" w:fill="FFFFFF"/>
            <w:vAlign w:val="center"/>
          </w:tcPr>
          <w:p w14:paraId="016ED72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49.87</w:t>
            </w:r>
          </w:p>
        </w:tc>
      </w:tr>
      <w:tr w14:paraId="5FD3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3D541CF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BMI</w:t>
            </w:r>
          </w:p>
        </w:tc>
        <w:tc>
          <w:tcPr>
            <w:tcW w:w="2321" w:type="dxa"/>
            <w:tcBorders>
              <w:top w:val="nil"/>
              <w:left w:val="nil"/>
              <w:bottom w:val="nil"/>
              <w:right w:val="nil"/>
            </w:tcBorders>
            <w:shd w:val="clear" w:color="auto" w:fill="FFFFFF"/>
            <w:vAlign w:val="center"/>
          </w:tcPr>
          <w:p w14:paraId="5D6C48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21.84</w:t>
            </w:r>
          </w:p>
        </w:tc>
        <w:tc>
          <w:tcPr>
            <w:tcW w:w="2322" w:type="dxa"/>
            <w:tcBorders>
              <w:top w:val="nil"/>
              <w:left w:val="nil"/>
              <w:bottom w:val="nil"/>
              <w:right w:val="nil"/>
            </w:tcBorders>
            <w:shd w:val="clear" w:color="auto" w:fill="FFFFFF"/>
            <w:vAlign w:val="center"/>
          </w:tcPr>
          <w:p w14:paraId="2D4A6EC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21.88</w:t>
            </w:r>
          </w:p>
        </w:tc>
        <w:tc>
          <w:tcPr>
            <w:tcW w:w="2322" w:type="dxa"/>
            <w:tcBorders>
              <w:top w:val="nil"/>
              <w:left w:val="nil"/>
              <w:bottom w:val="nil"/>
              <w:right w:val="nil"/>
            </w:tcBorders>
            <w:shd w:val="clear" w:color="auto" w:fill="FFFFFF"/>
            <w:vAlign w:val="center"/>
          </w:tcPr>
          <w:p w14:paraId="4150C80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21.96</w:t>
            </w:r>
          </w:p>
        </w:tc>
      </w:tr>
      <w:tr w14:paraId="18BA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000000" w:sz="12" w:space="0"/>
              <w:right w:val="nil"/>
            </w:tcBorders>
            <w:shd w:val="clear" w:color="auto" w:fill="FFFFFF"/>
            <w:vAlign w:val="center"/>
          </w:tcPr>
          <w:p w14:paraId="05AE515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空腹血糖</w:t>
            </w:r>
          </w:p>
        </w:tc>
        <w:tc>
          <w:tcPr>
            <w:tcW w:w="2321" w:type="dxa"/>
            <w:tcBorders>
              <w:top w:val="nil"/>
              <w:left w:val="nil"/>
              <w:bottom w:val="single" w:color="000000" w:sz="12" w:space="0"/>
              <w:right w:val="nil"/>
            </w:tcBorders>
            <w:shd w:val="clear" w:color="auto" w:fill="FFFFFF"/>
            <w:vAlign w:val="center"/>
          </w:tcPr>
          <w:p w14:paraId="3AFA2ED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5.06</w:t>
            </w:r>
          </w:p>
        </w:tc>
        <w:tc>
          <w:tcPr>
            <w:tcW w:w="2322" w:type="dxa"/>
            <w:tcBorders>
              <w:top w:val="nil"/>
              <w:left w:val="nil"/>
              <w:bottom w:val="single" w:color="000000" w:sz="12" w:space="0"/>
              <w:right w:val="nil"/>
            </w:tcBorders>
            <w:shd w:val="clear" w:color="auto" w:fill="FFFFFF"/>
            <w:vAlign w:val="center"/>
          </w:tcPr>
          <w:p w14:paraId="2B80976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5.11</w:t>
            </w:r>
          </w:p>
        </w:tc>
        <w:tc>
          <w:tcPr>
            <w:tcW w:w="2322" w:type="dxa"/>
            <w:tcBorders>
              <w:top w:val="nil"/>
              <w:left w:val="nil"/>
              <w:bottom w:val="single" w:color="000000" w:sz="12" w:space="0"/>
              <w:right w:val="nil"/>
            </w:tcBorders>
            <w:shd w:val="clear" w:color="auto" w:fill="FFFFFF"/>
            <w:vAlign w:val="center"/>
          </w:tcPr>
          <w:p w14:paraId="147C47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4.95</w:t>
            </w:r>
          </w:p>
        </w:tc>
      </w:tr>
    </w:tbl>
    <w:p w14:paraId="1CBE5378">
      <w:pPr>
        <w:ind w:firstLine="440" w:firstLineChars="200"/>
        <w:jc w:val="left"/>
        <w:rPr>
          <w:rFonts w:hint="eastAsia" w:ascii="Times New Roman" w:hAnsi="Times New Roman" w:eastAsia="宋体" w:cs="Times New Roman"/>
          <w:sz w:val="22"/>
          <w:szCs w:val="22"/>
          <w:lang w:eastAsia="zh-CN"/>
        </w:rPr>
      </w:pPr>
    </w:p>
    <w:p w14:paraId="612BA49B">
      <w:pPr>
        <w:ind w:firstLine="440" w:firstLineChars="200"/>
        <w:jc w:val="left"/>
        <w:rPr>
          <w:rFonts w:hint="eastAsia" w:ascii="Times New Roman" w:hAnsi="Times New Roman" w:eastAsia="宋体" w:cs="Times New Roman"/>
          <w:sz w:val="22"/>
          <w:szCs w:val="22"/>
          <w:lang w:eastAsia="zh-CN"/>
        </w:rPr>
      </w:pPr>
    </w:p>
    <w:p w14:paraId="4D93401F">
      <w:pPr>
        <w:ind w:firstLine="440" w:firstLineChars="200"/>
        <w:jc w:val="left"/>
        <w:rPr>
          <w:rFonts w:hint="eastAsia" w:ascii="Times New Roman" w:hAnsi="Times New Roman" w:eastAsia="宋体" w:cs="Times New Roman"/>
          <w:sz w:val="22"/>
          <w:szCs w:val="22"/>
          <w:lang w:eastAsia="zh-CN"/>
        </w:rPr>
      </w:pPr>
    </w:p>
    <w:p w14:paraId="3B9C48A5">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49925" cy="2961640"/>
            <wp:effectExtent l="0" t="0" r="3175" b="10160"/>
            <wp:docPr id="11" name="图片 11" descr="C:/Users/Kandao/Desktop/bisai/MathorCup_2026_C_Project/output/q2_1/feature_boxplot_by_risk.pngfeature_boxplot_by_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Kandao/Desktop/bisai/MathorCup_2026_C_Project/output/q2_1/feature_boxplot_by_risk.pngfeature_boxplot_by_risk"/>
                    <pic:cNvPicPr>
                      <a:picLocks noChangeAspect="1"/>
                    </pic:cNvPicPr>
                  </pic:nvPicPr>
                  <pic:blipFill>
                    <a:blip r:embed="rId17"/>
                    <a:srcRect t="11" b="11"/>
                    <a:stretch>
                      <a:fillRect/>
                    </a:stretch>
                  </pic:blipFill>
                  <pic:spPr>
                    <a:xfrm>
                      <a:off x="0" y="0"/>
                      <a:ext cx="5749925" cy="2961640"/>
                    </a:xfrm>
                    <a:prstGeom prst="rect">
                      <a:avLst/>
                    </a:prstGeom>
                  </pic:spPr>
                </pic:pic>
              </a:graphicData>
            </a:graphic>
          </wp:inline>
        </w:drawing>
      </w:r>
    </w:p>
    <w:p w14:paraId="09EC4AAE">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11</w:t>
      </w:r>
      <w:r>
        <w:rPr>
          <w:rFonts w:hint="eastAsia" w:ascii="Times New Roman" w:hAnsi="Times New Roman" w:eastAsia="宋体" w:cs="Times New Roman"/>
          <w:sz w:val="20"/>
          <w:szCs w:val="20"/>
          <w:lang w:eastAsia="zh-CN"/>
        </w:rPr>
        <w:t xml:space="preserve"> 关键指标在不同高血脂风险等级中的分布对比</w:t>
      </w:r>
    </w:p>
    <w:p w14:paraId="3525C8AA">
      <w:pPr>
        <w:jc w:val="left"/>
        <w:rPr>
          <w:rFonts w:hint="default" w:ascii="Times New Roman" w:hAnsi="Times New Roman" w:eastAsia="宋体" w:cs="Times New Roman"/>
          <w:sz w:val="22"/>
          <w:szCs w:val="22"/>
          <w:lang w:val="en-US" w:eastAsia="zh-CN"/>
        </w:rPr>
      </w:pPr>
      <w:r>
        <w:rPr>
          <w:rFonts w:hint="eastAsia" w:cs="Times New Roman"/>
          <w:sz w:val="22"/>
          <w:szCs w:val="22"/>
          <w:lang w:val="en-US" w:eastAsia="zh-CN"/>
        </w:rPr>
        <w:t>结论：</w:t>
      </w:r>
    </w:p>
    <w:p w14:paraId="3F8CB993">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TC、TG随风险等级显著上升，HDL-C显著下降，符合临床病理规律。</w:t>
      </w:r>
    </w:p>
    <w:p w14:paraId="7397EDCE">
      <w:pPr>
        <w:jc w:val="left"/>
        <w:outlineLvl w:val="2"/>
        <w:rPr>
          <w:rFonts w:hint="eastAsia" w:ascii="Times New Roman" w:hAnsi="Times New Roman" w:eastAsia="宋体" w:cs="Times New Roman"/>
          <w:sz w:val="22"/>
          <w:szCs w:val="22"/>
          <w:lang w:eastAsia="zh-CN"/>
        </w:rPr>
      </w:pPr>
      <w:bookmarkStart w:id="65" w:name="_Toc23637"/>
      <w:bookmarkStart w:id="66" w:name="_Toc17143"/>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.6</w:t>
      </w:r>
      <w:r>
        <w:rPr>
          <w:rFonts w:hint="eastAsia" w:cs="Times New Roman"/>
          <w:sz w:val="22"/>
          <w:szCs w:val="22"/>
          <w:lang w:val="en-US" w:eastAsia="zh-CN"/>
        </w:rPr>
        <w:t xml:space="preserve"> </w:t>
      </w:r>
      <w:r>
        <w:rPr>
          <w:rFonts w:hint="eastAsia" w:ascii="Times New Roman" w:hAnsi="Times New Roman" w:eastAsia="宋体" w:cs="Times New Roman"/>
          <w:sz w:val="22"/>
          <w:szCs w:val="22"/>
          <w:lang w:eastAsia="zh-CN"/>
        </w:rPr>
        <w:t>ROC曲线与最优阈值</w:t>
      </w:r>
      <w:bookmarkEnd w:id="65"/>
      <w:bookmarkEnd w:id="66"/>
    </w:p>
    <w:p w14:paraId="13F834D8">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模型ROC曲线AUC=0.9819，Youden最优阈值=0.5791。</w:t>
      </w:r>
    </w:p>
    <w:p w14:paraId="55BB97AF">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5005" cy="4265930"/>
            <wp:effectExtent l="0" t="0" r="5715" b="1270"/>
            <wp:docPr id="12" name="图片 12" descr="lr_probability_r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r_probability_roc(1)"/>
                    <pic:cNvPicPr>
                      <a:picLocks noChangeAspect="1"/>
                    </pic:cNvPicPr>
                  </pic:nvPicPr>
                  <pic:blipFill>
                    <a:blip r:embed="rId18"/>
                    <a:stretch>
                      <a:fillRect/>
                    </a:stretch>
                  </pic:blipFill>
                  <pic:spPr>
                    <a:xfrm>
                      <a:off x="0" y="0"/>
                      <a:ext cx="5755005" cy="4265930"/>
                    </a:xfrm>
                    <a:prstGeom prst="rect">
                      <a:avLst/>
                    </a:prstGeom>
                  </pic:spPr>
                </pic:pic>
              </a:graphicData>
            </a:graphic>
          </wp:inline>
        </w:drawing>
      </w:r>
    </w:p>
    <w:p w14:paraId="0E39AA71">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图12 高血脂风险预警模型ROC曲线</w:t>
      </w:r>
    </w:p>
    <w:p w14:paraId="7BDF36C1">
      <w:pPr>
        <w:ind w:firstLine="400" w:firstLineChars="200"/>
        <w:jc w:val="center"/>
        <w:rPr>
          <w:rFonts w:hint="eastAsia" w:ascii="Times New Roman" w:hAnsi="Times New Roman" w:eastAsia="宋体" w:cs="Times New Roman"/>
          <w:sz w:val="20"/>
          <w:szCs w:val="20"/>
          <w:lang w:eastAsia="zh-CN"/>
        </w:rPr>
      </w:pPr>
    </w:p>
    <w:p w14:paraId="0DE09B27">
      <w:pPr>
        <w:ind w:firstLine="400" w:firstLineChars="200"/>
        <w:jc w:val="center"/>
        <w:rPr>
          <w:rFonts w:hint="eastAsia" w:ascii="Times New Roman" w:hAnsi="Times New Roman" w:eastAsia="宋体" w:cs="Times New Roman"/>
          <w:sz w:val="20"/>
          <w:szCs w:val="20"/>
          <w:lang w:eastAsia="zh-CN"/>
        </w:rPr>
      </w:pPr>
    </w:p>
    <w:p w14:paraId="09BCF7C5">
      <w:pPr>
        <w:ind w:firstLine="400" w:firstLineChars="200"/>
        <w:jc w:val="center"/>
        <w:rPr>
          <w:rFonts w:hint="eastAsia" w:ascii="Times New Roman" w:hAnsi="Times New Roman" w:eastAsia="宋体" w:cs="Times New Roman"/>
          <w:sz w:val="20"/>
          <w:szCs w:val="20"/>
          <w:lang w:eastAsia="zh-CN"/>
        </w:rPr>
      </w:pPr>
    </w:p>
    <w:p w14:paraId="12AC349F">
      <w:pPr>
        <w:jc w:val="left"/>
        <w:outlineLvl w:val="2"/>
        <w:rPr>
          <w:rFonts w:hint="eastAsia" w:ascii="Times New Roman" w:hAnsi="Times New Roman" w:eastAsia="宋体" w:cs="Times New Roman"/>
          <w:sz w:val="22"/>
          <w:szCs w:val="22"/>
          <w:lang w:eastAsia="zh-CN"/>
        </w:rPr>
      </w:pPr>
      <w:bookmarkStart w:id="67" w:name="_Toc1805"/>
      <w:bookmarkStart w:id="68" w:name="_Toc29576"/>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.7 子问题一结论</w:t>
      </w:r>
      <w:bookmarkEnd w:id="67"/>
      <w:bookmarkEnd w:id="68"/>
    </w:p>
    <w:p w14:paraId="165E1C01">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逻辑回归模型AUC=0.9719，可稳定输出高血脂患病概率；</w:t>
      </w:r>
    </w:p>
    <w:p w14:paraId="17A3AAD3">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以0.1259、0.5791为分界，实现科学的低—中—高风险分层；</w:t>
      </w:r>
    </w:p>
    <w:p w14:paraId="6FC62F9C">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决策树提取出TG、TC、血尿酸为核心分层指标，规则可直接用于临床；</w:t>
      </w:r>
    </w:p>
    <w:p w14:paraId="74E252B9">
      <w:pPr>
        <w:ind w:firstLine="440" w:firstLineChars="200"/>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血脂指标随风险等级呈梯度变化，验证模型有效性。</w:t>
      </w:r>
    </w:p>
    <w:p w14:paraId="307C3917">
      <w:pPr>
        <w:jc w:val="left"/>
        <w:outlineLvl w:val="1"/>
        <w:rPr>
          <w:rFonts w:hint="eastAsia" w:ascii="Times New Roman" w:hAnsi="Times New Roman" w:eastAsia="宋体" w:cs="Times New Roman"/>
          <w:sz w:val="22"/>
          <w:szCs w:val="22"/>
          <w:lang w:eastAsia="zh-CN"/>
        </w:rPr>
      </w:pPr>
      <w:bookmarkStart w:id="69" w:name="_Toc22791"/>
      <w:bookmarkStart w:id="70" w:name="_Toc25275"/>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 xml:space="preserve"> 子问题二：痰湿体质高风险人群核心特征组合识别</w:t>
      </w:r>
      <w:bookmarkEnd w:id="69"/>
      <w:bookmarkEnd w:id="70"/>
    </w:p>
    <w:p w14:paraId="77C6C4F1">
      <w:pPr>
        <w:jc w:val="left"/>
        <w:outlineLvl w:val="2"/>
        <w:rPr>
          <w:rFonts w:hint="eastAsia" w:ascii="Times New Roman" w:hAnsi="Times New Roman" w:eastAsia="宋体" w:cs="Times New Roman"/>
          <w:sz w:val="22"/>
          <w:szCs w:val="22"/>
          <w:lang w:eastAsia="zh-CN"/>
        </w:rPr>
      </w:pPr>
      <w:bookmarkStart w:id="71" w:name="_Toc1445"/>
      <w:bookmarkStart w:id="72" w:name="_Toc29274"/>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.1 研究思路</w:t>
      </w:r>
      <w:bookmarkEnd w:id="71"/>
      <w:bookmarkEnd w:id="72"/>
    </w:p>
    <w:p w14:paraId="6BEE741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目标群体筛选。从全体数据中提取"体质标签=5且风险等级=高风险"的样本群。</w:t>
      </w:r>
    </w:p>
    <w:p w14:paraId="61738441">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特征离散化。将连续型特征（血脂指标、体质积分、活动量等）转化为二元项目，以便输入Apriori算法。</w:t>
      </w:r>
    </w:p>
    <w:p w14:paraId="582705A4">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Apriori关联规则挖掘。在高风险组中发现频繁共现的特征集合，提取关联规则。</w:t>
      </w:r>
    </w:p>
    <w:p w14:paraId="4F64940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对比分析。在高风险组与非高风险组（均限于痰湿体质内）之间做卡方检验，识别哪些特征对高风险具有统计显著的区分力。</w:t>
      </w:r>
    </w:p>
    <w:p w14:paraId="158779E7">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核心特征组合识别。综合支持度、对比Lift、组合长度计算综合得分，排名得出核心特征组合。</w:t>
      </w:r>
    </w:p>
    <w:p w14:paraId="71C9C670">
      <w:pPr>
        <w:ind w:firstLine="440" w:firstLineChars="200"/>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6.</w:t>
      </w:r>
      <w:r>
        <w:rPr>
          <w:rFonts w:hint="eastAsia" w:ascii="Times New Roman" w:hAnsi="Times New Roman" w:eastAsia="宋体" w:cs="Times New Roman"/>
          <w:sz w:val="22"/>
          <w:szCs w:val="22"/>
          <w:lang w:eastAsia="zh-CN"/>
        </w:rPr>
        <w:t>医学解释。对核心特征组合给出中医与现代医学结合的解释。</w:t>
      </w:r>
    </w:p>
    <w:p w14:paraId="2113E883">
      <w:pPr>
        <w:jc w:val="left"/>
        <w:outlineLvl w:val="2"/>
        <w:rPr>
          <w:rFonts w:hint="eastAsia" w:ascii="Times New Roman" w:hAnsi="Times New Roman" w:eastAsia="宋体" w:cs="Times New Roman"/>
          <w:sz w:val="22"/>
          <w:szCs w:val="22"/>
          <w:lang w:eastAsia="zh-CN"/>
        </w:rPr>
      </w:pPr>
      <w:bookmarkStart w:id="73" w:name="_Toc30964"/>
      <w:bookmarkStart w:id="74" w:name="_Toc24676"/>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.2 目标群体筛选</w:t>
      </w:r>
      <w:bookmarkEnd w:id="73"/>
      <w:bookmarkEnd w:id="74"/>
    </w:p>
    <w:p w14:paraId="4507BE98">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痰湿体质样本共278例，其中高风险200例（71.9%）、非高风险78例（28.1%），说明痰湿体质与高血脂高风险存在强关联。</w:t>
      </w:r>
    </w:p>
    <w:p w14:paraId="6AEC022A">
      <w:pPr>
        <w:jc w:val="left"/>
        <w:rPr>
          <w:rFonts w:hint="eastAsia" w:ascii="Times New Roman" w:hAnsi="Times New Roman" w:eastAsia="宋体" w:cs="Times New Roman"/>
          <w:sz w:val="20"/>
          <w:szCs w:val="20"/>
          <w:vertAlign w:val="baseline"/>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12</w:t>
      </w:r>
      <w:r>
        <w:rPr>
          <w:rFonts w:hint="eastAsia" w:ascii="Times New Roman" w:hAnsi="Times New Roman" w:eastAsia="宋体" w:cs="Times New Roman"/>
          <w:sz w:val="20"/>
          <w:szCs w:val="20"/>
          <w:lang w:eastAsia="zh-CN"/>
        </w:rPr>
        <w:t xml:space="preserve"> 痰湿体质样本风险分布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C97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12" w:space="0"/>
              <w:left w:val="nil"/>
              <w:bottom w:val="single" w:color="000000" w:sz="4" w:space="0"/>
              <w:right w:val="nil"/>
              <w:tl2br w:val="nil"/>
            </w:tcBorders>
            <w:shd w:val="clear" w:color="auto" w:fill="FFFFFF"/>
            <w:vAlign w:val="center"/>
          </w:tcPr>
          <w:p w14:paraId="3FE4DF3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分组</w:t>
            </w:r>
          </w:p>
        </w:tc>
        <w:tc>
          <w:tcPr>
            <w:tcW w:w="3095" w:type="dxa"/>
            <w:tcBorders>
              <w:top w:val="single" w:color="000000" w:sz="12" w:space="0"/>
              <w:left w:val="nil"/>
              <w:bottom w:val="single" w:color="000000" w:sz="4" w:space="0"/>
              <w:right w:val="nil"/>
            </w:tcBorders>
            <w:shd w:val="clear" w:color="auto" w:fill="FFFFFF"/>
            <w:vAlign w:val="center"/>
          </w:tcPr>
          <w:p w14:paraId="66A7E8A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人数</w:t>
            </w:r>
          </w:p>
        </w:tc>
        <w:tc>
          <w:tcPr>
            <w:tcW w:w="3096" w:type="dxa"/>
            <w:tcBorders>
              <w:top w:val="single" w:color="000000" w:sz="12" w:space="0"/>
              <w:left w:val="nil"/>
              <w:bottom w:val="single" w:color="000000" w:sz="4" w:space="0"/>
              <w:right w:val="nil"/>
            </w:tcBorders>
            <w:shd w:val="clear" w:color="auto" w:fill="FFFFFF"/>
            <w:vAlign w:val="center"/>
          </w:tcPr>
          <w:p w14:paraId="492793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占比</w:t>
            </w:r>
          </w:p>
        </w:tc>
      </w:tr>
      <w:tr w14:paraId="7224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4" w:space="0"/>
              <w:left w:val="nil"/>
              <w:bottom w:val="nil"/>
              <w:right w:val="nil"/>
            </w:tcBorders>
            <w:shd w:val="clear" w:color="auto" w:fill="FFFFFF"/>
            <w:vAlign w:val="center"/>
          </w:tcPr>
          <w:p w14:paraId="00F9E9B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痰湿体质（总）</w:t>
            </w:r>
          </w:p>
        </w:tc>
        <w:tc>
          <w:tcPr>
            <w:tcW w:w="3095" w:type="dxa"/>
            <w:tcBorders>
              <w:top w:val="single" w:color="000000" w:sz="4" w:space="0"/>
              <w:left w:val="nil"/>
              <w:bottom w:val="nil"/>
              <w:right w:val="nil"/>
            </w:tcBorders>
            <w:shd w:val="clear" w:color="auto" w:fill="FFFFFF"/>
            <w:vAlign w:val="center"/>
          </w:tcPr>
          <w:p w14:paraId="317009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278</w:t>
            </w:r>
          </w:p>
        </w:tc>
        <w:tc>
          <w:tcPr>
            <w:tcW w:w="3096" w:type="dxa"/>
            <w:tcBorders>
              <w:top w:val="single" w:color="000000" w:sz="4" w:space="0"/>
              <w:left w:val="nil"/>
              <w:bottom w:val="nil"/>
              <w:right w:val="nil"/>
            </w:tcBorders>
            <w:shd w:val="clear" w:color="auto" w:fill="FFFFFF"/>
            <w:vAlign w:val="center"/>
          </w:tcPr>
          <w:p w14:paraId="1873A36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100%</w:t>
            </w:r>
          </w:p>
        </w:tc>
      </w:tr>
      <w:tr w14:paraId="2211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578A63D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 + 高风险</w:t>
            </w:r>
          </w:p>
        </w:tc>
        <w:tc>
          <w:tcPr>
            <w:tcW w:w="3095" w:type="dxa"/>
            <w:tcBorders>
              <w:top w:val="nil"/>
              <w:left w:val="nil"/>
              <w:bottom w:val="nil"/>
              <w:right w:val="nil"/>
            </w:tcBorders>
            <w:shd w:val="clear" w:color="auto" w:fill="FFFFFF"/>
            <w:vAlign w:val="center"/>
          </w:tcPr>
          <w:p w14:paraId="1C3784F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200</w:t>
            </w:r>
          </w:p>
        </w:tc>
        <w:tc>
          <w:tcPr>
            <w:tcW w:w="3096" w:type="dxa"/>
            <w:tcBorders>
              <w:top w:val="nil"/>
              <w:left w:val="nil"/>
              <w:bottom w:val="nil"/>
              <w:right w:val="nil"/>
            </w:tcBorders>
            <w:shd w:val="clear" w:color="auto" w:fill="FFFFFF"/>
            <w:vAlign w:val="center"/>
          </w:tcPr>
          <w:p w14:paraId="29F602E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71.90%</w:t>
            </w:r>
          </w:p>
        </w:tc>
      </w:tr>
      <w:tr w14:paraId="4E06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170487D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 + 非高风险</w:t>
            </w:r>
          </w:p>
        </w:tc>
        <w:tc>
          <w:tcPr>
            <w:tcW w:w="3095" w:type="dxa"/>
            <w:tcBorders>
              <w:top w:val="nil"/>
              <w:left w:val="nil"/>
              <w:bottom w:val="single" w:color="000000" w:sz="12" w:space="0"/>
              <w:right w:val="nil"/>
            </w:tcBorders>
            <w:shd w:val="clear" w:color="auto" w:fill="FFFFFF"/>
            <w:vAlign w:val="center"/>
          </w:tcPr>
          <w:p w14:paraId="3F10222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78</w:t>
            </w:r>
          </w:p>
        </w:tc>
        <w:tc>
          <w:tcPr>
            <w:tcW w:w="3096" w:type="dxa"/>
            <w:tcBorders>
              <w:top w:val="nil"/>
              <w:left w:val="nil"/>
              <w:bottom w:val="single" w:color="000000" w:sz="12" w:space="0"/>
              <w:right w:val="nil"/>
            </w:tcBorders>
            <w:shd w:val="clear" w:color="auto" w:fill="FFFFFF"/>
            <w:vAlign w:val="center"/>
          </w:tcPr>
          <w:p w14:paraId="448D0EF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28.10%</w:t>
            </w:r>
          </w:p>
        </w:tc>
      </w:tr>
    </w:tbl>
    <w:p w14:paraId="4EC6720D">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结果显示，痰湿体质人群中高血脂高风险占比达71.9%，显著高于整体水平，提示痰湿质是高血脂高危体质基础。</w:t>
      </w:r>
    </w:p>
    <w:p w14:paraId="6E35B2AC">
      <w:pPr>
        <w:jc w:val="left"/>
        <w:outlineLvl w:val="2"/>
        <w:rPr>
          <w:rFonts w:hint="eastAsia" w:ascii="Times New Roman" w:hAnsi="Times New Roman" w:eastAsia="宋体" w:cs="Times New Roman"/>
          <w:sz w:val="22"/>
          <w:szCs w:val="22"/>
          <w:lang w:eastAsia="zh-CN"/>
        </w:rPr>
      </w:pPr>
      <w:bookmarkStart w:id="75" w:name="_Toc11379"/>
      <w:bookmarkStart w:id="76" w:name="_Toc1679"/>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3</w:t>
      </w:r>
      <w:r>
        <w:rPr>
          <w:rFonts w:hint="eastAsia" w:ascii="Times New Roman" w:hAnsi="Times New Roman" w:eastAsia="宋体" w:cs="Times New Roman"/>
          <w:sz w:val="22"/>
          <w:szCs w:val="22"/>
          <w:lang w:eastAsia="zh-CN"/>
        </w:rPr>
        <w:t xml:space="preserve"> 特征离散化处理</w:t>
      </w:r>
      <w:bookmarkEnd w:id="75"/>
      <w:bookmarkEnd w:id="76"/>
    </w:p>
    <w:p w14:paraId="72D77A97">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为适配关联规则挖掘，将连续型特征按决策树阈值、临床标准、动态分位数统一离散化为二元特征，阈值设定如下：</w:t>
      </w:r>
    </w:p>
    <w:p w14:paraId="42E61857">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13</w:t>
      </w:r>
      <w:r>
        <w:rPr>
          <w:rFonts w:hint="eastAsia" w:ascii="Times New Roman" w:hAnsi="Times New Roman" w:eastAsia="宋体" w:cs="Times New Roman"/>
          <w:sz w:val="20"/>
          <w:szCs w:val="20"/>
          <w:lang w:eastAsia="zh-CN"/>
        </w:rPr>
        <w:t xml:space="preserve"> 特征离散化阈值与定义</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0D5E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12" w:space="0"/>
              <w:left w:val="nil"/>
              <w:bottom w:val="single" w:color="000000" w:sz="4" w:space="0"/>
              <w:right w:val="nil"/>
              <w:tl2br w:val="nil"/>
            </w:tcBorders>
            <w:shd w:val="clear" w:color="auto" w:fill="FFFFFF"/>
            <w:vAlign w:val="center"/>
          </w:tcPr>
          <w:p w14:paraId="21DE626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2321" w:type="dxa"/>
            <w:tcBorders>
              <w:top w:val="single" w:color="000000" w:sz="12" w:space="0"/>
              <w:left w:val="nil"/>
              <w:bottom w:val="single" w:color="000000" w:sz="4" w:space="0"/>
              <w:right w:val="nil"/>
            </w:tcBorders>
            <w:shd w:val="clear" w:color="auto" w:fill="FFFFFF"/>
            <w:vAlign w:val="center"/>
          </w:tcPr>
          <w:p w14:paraId="7BFB8F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阈值</w:t>
            </w:r>
          </w:p>
        </w:tc>
        <w:tc>
          <w:tcPr>
            <w:tcW w:w="2322" w:type="dxa"/>
            <w:tcBorders>
              <w:top w:val="single" w:color="000000" w:sz="12" w:space="0"/>
              <w:left w:val="nil"/>
              <w:bottom w:val="single" w:color="000000" w:sz="4" w:space="0"/>
              <w:right w:val="nil"/>
            </w:tcBorders>
            <w:shd w:val="clear" w:color="auto" w:fill="FFFFFF"/>
            <w:vAlign w:val="center"/>
          </w:tcPr>
          <w:p w14:paraId="5766158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离散化标签</w:t>
            </w:r>
          </w:p>
        </w:tc>
        <w:tc>
          <w:tcPr>
            <w:tcW w:w="2322" w:type="dxa"/>
            <w:tcBorders>
              <w:top w:val="single" w:color="000000" w:sz="12" w:space="0"/>
              <w:left w:val="nil"/>
              <w:bottom w:val="single" w:color="000000" w:sz="4" w:space="0"/>
              <w:right w:val="nil"/>
            </w:tcBorders>
            <w:shd w:val="clear" w:color="auto" w:fill="FFFFFF"/>
            <w:vAlign w:val="center"/>
          </w:tcPr>
          <w:p w14:paraId="0BB8BC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阈值来源</w:t>
            </w:r>
          </w:p>
        </w:tc>
      </w:tr>
      <w:tr w14:paraId="28B4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4" w:space="0"/>
              <w:left w:val="nil"/>
              <w:bottom w:val="nil"/>
              <w:right w:val="nil"/>
            </w:tcBorders>
            <w:shd w:val="clear" w:color="auto" w:fill="FFFFFF"/>
            <w:vAlign w:val="center"/>
          </w:tcPr>
          <w:p w14:paraId="3493BB4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极高痰湿积分</w:t>
            </w:r>
          </w:p>
        </w:tc>
        <w:tc>
          <w:tcPr>
            <w:tcW w:w="2321" w:type="dxa"/>
            <w:tcBorders>
              <w:top w:val="single" w:color="000000" w:sz="4" w:space="0"/>
              <w:left w:val="nil"/>
              <w:bottom w:val="nil"/>
              <w:right w:val="nil"/>
            </w:tcBorders>
            <w:shd w:val="clear" w:color="auto" w:fill="FFFFFF"/>
            <w:vAlign w:val="center"/>
          </w:tcPr>
          <w:p w14:paraId="7A7374A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≥62.25</m:t>
                </m:r>
              </m:oMath>
            </m:oMathPara>
          </w:p>
        </w:tc>
        <w:tc>
          <w:tcPr>
            <w:tcW w:w="2322" w:type="dxa"/>
            <w:tcBorders>
              <w:top w:val="single" w:color="000000" w:sz="4" w:space="0"/>
              <w:left w:val="nil"/>
              <w:bottom w:val="nil"/>
              <w:right w:val="nil"/>
            </w:tcBorders>
            <w:shd w:val="clear" w:color="auto" w:fill="FFFFFF"/>
            <w:vAlign w:val="center"/>
          </w:tcPr>
          <w:p w14:paraId="50BB34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痰湿积分</w:t>
            </w:r>
            <m:oMath>
              <m:r>
                <m:rPr>
                  <m:sty m:val="p"/>
                </m:rPr>
                <w:rPr>
                  <w:rFonts w:hint="eastAsia" w:ascii="Cambria Math" w:hAnsi="Cambria Math" w:eastAsia="宋体" w:cs="宋体"/>
                  <w:color w:val="000000"/>
                  <w:kern w:val="0"/>
                  <w:sz w:val="22"/>
                  <w:szCs w:val="22"/>
                  <w:u w:val="none"/>
                  <w:lang w:val="en-US" w:eastAsia="zh-CN" w:bidi="ar"/>
                </w:rPr>
                <m:t>≥62.25</m:t>
              </m:r>
            </m:oMath>
          </w:p>
        </w:tc>
        <w:tc>
          <w:tcPr>
            <w:tcW w:w="2322" w:type="dxa"/>
            <w:tcBorders>
              <w:top w:val="single" w:color="000000" w:sz="4" w:space="0"/>
              <w:left w:val="nil"/>
              <w:bottom w:val="nil"/>
              <w:right w:val="nil"/>
            </w:tcBorders>
            <w:shd w:val="clear" w:color="auto" w:fill="FFFFFF"/>
            <w:vAlign w:val="center"/>
          </w:tcPr>
          <w:p w14:paraId="48130E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动态Q75</w:t>
            </w:r>
          </w:p>
        </w:tc>
      </w:tr>
      <w:tr w14:paraId="5AA1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0591994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TG</w:t>
            </w:r>
          </w:p>
        </w:tc>
        <w:tc>
          <w:tcPr>
            <w:tcW w:w="2321" w:type="dxa"/>
            <w:tcBorders>
              <w:top w:val="nil"/>
              <w:left w:val="nil"/>
              <w:bottom w:val="nil"/>
              <w:right w:val="nil"/>
            </w:tcBorders>
            <w:shd w:val="clear" w:color="auto" w:fill="FFFFFF"/>
            <w:vAlign w:val="center"/>
          </w:tcPr>
          <w:p w14:paraId="698852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&gt;1.92</m:t>
                </m:r>
              </m:oMath>
            </m:oMathPara>
          </w:p>
        </w:tc>
        <w:tc>
          <w:tcPr>
            <w:tcW w:w="2322" w:type="dxa"/>
            <w:tcBorders>
              <w:top w:val="nil"/>
              <w:left w:val="nil"/>
              <w:bottom w:val="nil"/>
              <w:right w:val="nil"/>
            </w:tcBorders>
            <w:shd w:val="clear" w:color="auto" w:fill="FFFFFF"/>
            <w:vAlign w:val="center"/>
          </w:tcPr>
          <w:p w14:paraId="1F32E66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甘油三酯偏高</w:t>
            </w:r>
          </w:p>
        </w:tc>
        <w:tc>
          <w:tcPr>
            <w:tcW w:w="2322" w:type="dxa"/>
            <w:tcBorders>
              <w:top w:val="nil"/>
              <w:left w:val="nil"/>
              <w:bottom w:val="nil"/>
              <w:right w:val="nil"/>
            </w:tcBorders>
            <w:shd w:val="clear" w:color="auto" w:fill="FFFFFF"/>
            <w:vAlign w:val="center"/>
          </w:tcPr>
          <w:p w14:paraId="60386E2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73BC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2E51707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TC</w:t>
            </w:r>
          </w:p>
        </w:tc>
        <w:tc>
          <w:tcPr>
            <w:tcW w:w="2321" w:type="dxa"/>
            <w:tcBorders>
              <w:top w:val="nil"/>
              <w:left w:val="nil"/>
              <w:bottom w:val="nil"/>
              <w:right w:val="nil"/>
            </w:tcBorders>
            <w:shd w:val="clear" w:color="auto" w:fill="FFFFFF"/>
            <w:vAlign w:val="center"/>
          </w:tcPr>
          <w:p w14:paraId="2585B37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&gt;6.16</m:t>
                </m:r>
              </m:oMath>
            </m:oMathPara>
          </w:p>
        </w:tc>
        <w:tc>
          <w:tcPr>
            <w:tcW w:w="2322" w:type="dxa"/>
            <w:tcBorders>
              <w:top w:val="nil"/>
              <w:left w:val="nil"/>
              <w:bottom w:val="nil"/>
              <w:right w:val="nil"/>
            </w:tcBorders>
            <w:shd w:val="clear" w:color="auto" w:fill="FFFFFF"/>
            <w:vAlign w:val="center"/>
          </w:tcPr>
          <w:p w14:paraId="52A6783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总胆固醇偏高</w:t>
            </w:r>
          </w:p>
        </w:tc>
        <w:tc>
          <w:tcPr>
            <w:tcW w:w="2322" w:type="dxa"/>
            <w:tcBorders>
              <w:top w:val="nil"/>
              <w:left w:val="nil"/>
              <w:bottom w:val="nil"/>
              <w:right w:val="nil"/>
            </w:tcBorders>
            <w:shd w:val="clear" w:color="auto" w:fill="FFFFFF"/>
            <w:vAlign w:val="center"/>
          </w:tcPr>
          <w:p w14:paraId="21DD185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7DA9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510312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高血尿酸</w:t>
            </w:r>
          </w:p>
        </w:tc>
        <w:tc>
          <w:tcPr>
            <w:tcW w:w="2321" w:type="dxa"/>
            <w:tcBorders>
              <w:top w:val="nil"/>
              <w:left w:val="nil"/>
              <w:bottom w:val="nil"/>
              <w:right w:val="nil"/>
            </w:tcBorders>
            <w:shd w:val="clear" w:color="auto" w:fill="FFFFFF"/>
            <w:vAlign w:val="center"/>
          </w:tcPr>
          <w:p w14:paraId="3E4631F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&gt;383.50</m:t>
                </m:r>
              </m:oMath>
            </m:oMathPara>
          </w:p>
        </w:tc>
        <w:tc>
          <w:tcPr>
            <w:tcW w:w="2322" w:type="dxa"/>
            <w:tcBorders>
              <w:top w:val="nil"/>
              <w:left w:val="nil"/>
              <w:bottom w:val="nil"/>
              <w:right w:val="nil"/>
            </w:tcBorders>
            <w:shd w:val="clear" w:color="auto" w:fill="FFFFFF"/>
            <w:vAlign w:val="center"/>
          </w:tcPr>
          <w:p w14:paraId="288B660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血尿酸偏高</w:t>
            </w:r>
          </w:p>
        </w:tc>
        <w:tc>
          <w:tcPr>
            <w:tcW w:w="2322" w:type="dxa"/>
            <w:tcBorders>
              <w:top w:val="nil"/>
              <w:left w:val="nil"/>
              <w:bottom w:val="nil"/>
              <w:right w:val="nil"/>
            </w:tcBorders>
            <w:shd w:val="clear" w:color="auto" w:fill="FFFFFF"/>
            <w:vAlign w:val="center"/>
          </w:tcPr>
          <w:p w14:paraId="1588D04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3CA5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059E96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低活动量</w:t>
            </w:r>
          </w:p>
        </w:tc>
        <w:tc>
          <w:tcPr>
            <w:tcW w:w="2321" w:type="dxa"/>
            <w:tcBorders>
              <w:top w:val="nil"/>
              <w:left w:val="nil"/>
              <w:bottom w:val="nil"/>
              <w:right w:val="nil"/>
            </w:tcBorders>
            <w:shd w:val="clear" w:color="auto" w:fill="FFFFFF"/>
            <w:vAlign w:val="center"/>
          </w:tcPr>
          <w:p w14:paraId="1280183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&lt;40.00</m:t>
                </m:r>
              </m:oMath>
            </m:oMathPara>
          </w:p>
        </w:tc>
        <w:tc>
          <w:tcPr>
            <w:tcW w:w="2322" w:type="dxa"/>
            <w:tcBorders>
              <w:top w:val="nil"/>
              <w:left w:val="nil"/>
              <w:bottom w:val="nil"/>
              <w:right w:val="nil"/>
            </w:tcBorders>
            <w:shd w:val="clear" w:color="auto" w:fill="FFFFFF"/>
            <w:vAlign w:val="center"/>
          </w:tcPr>
          <w:p w14:paraId="7321FB5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活动量不足</w:t>
            </w:r>
          </w:p>
        </w:tc>
        <w:tc>
          <w:tcPr>
            <w:tcW w:w="2322" w:type="dxa"/>
            <w:tcBorders>
              <w:top w:val="nil"/>
              <w:left w:val="nil"/>
              <w:bottom w:val="nil"/>
              <w:right w:val="nil"/>
            </w:tcBorders>
            <w:shd w:val="clear" w:color="auto" w:fill="FFFFFF"/>
            <w:vAlign w:val="center"/>
          </w:tcPr>
          <w:p w14:paraId="59E19CA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临床标准</w:t>
            </w:r>
          </w:p>
        </w:tc>
      </w:tr>
      <w:tr w14:paraId="0500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4610B6A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LDL-C</w:t>
            </w:r>
          </w:p>
        </w:tc>
        <w:tc>
          <w:tcPr>
            <w:tcW w:w="2321" w:type="dxa"/>
            <w:tcBorders>
              <w:top w:val="nil"/>
              <w:left w:val="nil"/>
              <w:bottom w:val="nil"/>
              <w:right w:val="nil"/>
            </w:tcBorders>
            <w:shd w:val="clear" w:color="auto" w:fill="FFFFFF"/>
            <w:vAlign w:val="center"/>
          </w:tcPr>
          <w:p w14:paraId="5109B77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&gt;2.69</m:t>
                </m:r>
              </m:oMath>
            </m:oMathPara>
          </w:p>
        </w:tc>
        <w:tc>
          <w:tcPr>
            <w:tcW w:w="2322" w:type="dxa"/>
            <w:tcBorders>
              <w:top w:val="nil"/>
              <w:left w:val="nil"/>
              <w:bottom w:val="nil"/>
              <w:right w:val="nil"/>
            </w:tcBorders>
            <w:shd w:val="clear" w:color="auto" w:fill="FFFFFF"/>
            <w:vAlign w:val="center"/>
          </w:tcPr>
          <w:p w14:paraId="5B7DC8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低密度脂蛋白偏高</w:t>
            </w:r>
          </w:p>
        </w:tc>
        <w:tc>
          <w:tcPr>
            <w:tcW w:w="2322" w:type="dxa"/>
            <w:tcBorders>
              <w:top w:val="nil"/>
              <w:left w:val="nil"/>
              <w:bottom w:val="nil"/>
              <w:right w:val="nil"/>
            </w:tcBorders>
            <w:shd w:val="clear" w:color="auto" w:fill="FFFFFF"/>
            <w:vAlign w:val="center"/>
          </w:tcPr>
          <w:p w14:paraId="02E90A1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020D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6184C07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 HDL-C</w:t>
            </w:r>
          </w:p>
        </w:tc>
        <w:tc>
          <w:tcPr>
            <w:tcW w:w="2321" w:type="dxa"/>
            <w:tcBorders>
              <w:top w:val="nil"/>
              <w:left w:val="nil"/>
              <w:bottom w:val="nil"/>
              <w:right w:val="nil"/>
            </w:tcBorders>
            <w:shd w:val="clear" w:color="auto" w:fill="FFFFFF"/>
            <w:vAlign w:val="center"/>
          </w:tcPr>
          <w:p w14:paraId="45CAF7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&lt;1.31</m:t>
                </m:r>
              </m:oMath>
            </m:oMathPara>
          </w:p>
        </w:tc>
        <w:tc>
          <w:tcPr>
            <w:tcW w:w="2322" w:type="dxa"/>
            <w:tcBorders>
              <w:top w:val="nil"/>
              <w:left w:val="nil"/>
              <w:bottom w:val="nil"/>
              <w:right w:val="nil"/>
            </w:tcBorders>
            <w:shd w:val="clear" w:color="auto" w:fill="FFFFFF"/>
            <w:vAlign w:val="center"/>
          </w:tcPr>
          <w:p w14:paraId="2ED93A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高密度脂蛋白偏低</w:t>
            </w:r>
          </w:p>
        </w:tc>
        <w:tc>
          <w:tcPr>
            <w:tcW w:w="2322" w:type="dxa"/>
            <w:tcBorders>
              <w:top w:val="nil"/>
              <w:left w:val="nil"/>
              <w:bottom w:val="nil"/>
              <w:right w:val="nil"/>
            </w:tcBorders>
            <w:shd w:val="clear" w:color="auto" w:fill="FFFFFF"/>
            <w:vAlign w:val="center"/>
          </w:tcPr>
          <w:p w14:paraId="03EFB4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1B1C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639F39E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BMI</w:t>
            </w:r>
          </w:p>
        </w:tc>
        <w:tc>
          <w:tcPr>
            <w:tcW w:w="2321" w:type="dxa"/>
            <w:tcBorders>
              <w:top w:val="nil"/>
              <w:left w:val="nil"/>
              <w:bottom w:val="nil"/>
              <w:right w:val="nil"/>
            </w:tcBorders>
            <w:shd w:val="clear" w:color="auto" w:fill="FFFFFF"/>
            <w:vAlign w:val="center"/>
          </w:tcPr>
          <w:p w14:paraId="3D2C19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&gt;21.85</m:t>
                </m:r>
              </m:oMath>
            </m:oMathPara>
          </w:p>
        </w:tc>
        <w:tc>
          <w:tcPr>
            <w:tcW w:w="2322" w:type="dxa"/>
            <w:tcBorders>
              <w:top w:val="nil"/>
              <w:left w:val="nil"/>
              <w:bottom w:val="nil"/>
              <w:right w:val="nil"/>
            </w:tcBorders>
            <w:shd w:val="clear" w:color="auto" w:fill="FFFFFF"/>
            <w:vAlign w:val="center"/>
          </w:tcPr>
          <w:p w14:paraId="6A123F5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体重指数偏高</w:t>
            </w:r>
          </w:p>
        </w:tc>
        <w:tc>
          <w:tcPr>
            <w:tcW w:w="2322" w:type="dxa"/>
            <w:tcBorders>
              <w:top w:val="nil"/>
              <w:left w:val="nil"/>
              <w:bottom w:val="nil"/>
              <w:right w:val="nil"/>
            </w:tcBorders>
            <w:shd w:val="clear" w:color="auto" w:fill="FFFFFF"/>
            <w:vAlign w:val="center"/>
          </w:tcPr>
          <w:p w14:paraId="36CDDB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20EB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vAlign w:val="center"/>
          </w:tcPr>
          <w:p w14:paraId="02D30AF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高血糖</w:t>
            </w:r>
          </w:p>
        </w:tc>
        <w:tc>
          <w:tcPr>
            <w:tcW w:w="2321" w:type="dxa"/>
            <w:tcBorders>
              <w:top w:val="nil"/>
              <w:left w:val="nil"/>
              <w:bottom w:val="nil"/>
              <w:right w:val="nil"/>
            </w:tcBorders>
            <w:shd w:val="clear" w:color="auto" w:fill="FFFFFF"/>
            <w:vAlign w:val="center"/>
          </w:tcPr>
          <w:p w14:paraId="084E1A3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&gt;4.99</m:t>
                </m:r>
              </m:oMath>
            </m:oMathPara>
          </w:p>
        </w:tc>
        <w:tc>
          <w:tcPr>
            <w:tcW w:w="2322" w:type="dxa"/>
            <w:tcBorders>
              <w:top w:val="nil"/>
              <w:left w:val="nil"/>
              <w:bottom w:val="nil"/>
              <w:right w:val="nil"/>
            </w:tcBorders>
            <w:shd w:val="clear" w:color="auto" w:fill="FFFFFF"/>
            <w:vAlign w:val="center"/>
          </w:tcPr>
          <w:p w14:paraId="30DC525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血糖偏高</w:t>
            </w:r>
          </w:p>
        </w:tc>
        <w:tc>
          <w:tcPr>
            <w:tcW w:w="2322" w:type="dxa"/>
            <w:tcBorders>
              <w:top w:val="nil"/>
              <w:left w:val="nil"/>
              <w:bottom w:val="nil"/>
              <w:right w:val="nil"/>
            </w:tcBorders>
            <w:shd w:val="clear" w:color="auto" w:fill="FFFFFF"/>
            <w:vAlign w:val="center"/>
          </w:tcPr>
          <w:p w14:paraId="2FABAA5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4781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000000" w:sz="12" w:space="0"/>
              <w:right w:val="nil"/>
            </w:tcBorders>
            <w:shd w:val="clear" w:color="auto" w:fill="FFFFFF"/>
            <w:vAlign w:val="center"/>
          </w:tcPr>
          <w:p w14:paraId="544CDFE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老年</w:t>
            </w:r>
          </w:p>
        </w:tc>
        <w:tc>
          <w:tcPr>
            <w:tcW w:w="2321" w:type="dxa"/>
            <w:tcBorders>
              <w:top w:val="nil"/>
              <w:left w:val="nil"/>
              <w:bottom w:val="single" w:color="000000" w:sz="12" w:space="0"/>
              <w:right w:val="nil"/>
            </w:tcBorders>
            <w:shd w:val="clear" w:color="auto" w:fill="FFFFFF"/>
            <w:vAlign w:val="center"/>
          </w:tcPr>
          <w:p w14:paraId="3F3F18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≥3</m:t>
                </m:r>
              </m:oMath>
            </m:oMathPara>
          </w:p>
        </w:tc>
        <w:tc>
          <w:tcPr>
            <w:tcW w:w="2322" w:type="dxa"/>
            <w:tcBorders>
              <w:top w:val="nil"/>
              <w:left w:val="nil"/>
              <w:bottom w:val="single" w:color="000000" w:sz="12" w:space="0"/>
              <w:right w:val="nil"/>
            </w:tcBorders>
            <w:shd w:val="clear" w:color="auto" w:fill="FFFFFF"/>
            <w:vAlign w:val="center"/>
          </w:tcPr>
          <w:p w14:paraId="2571782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年龄</w:t>
            </w:r>
            <m:oMath>
              <m:r>
                <m:rPr>
                  <m:sty m:val="p"/>
                </m:rPr>
                <w:rPr>
                  <w:rFonts w:hint="eastAsia" w:ascii="Cambria Math" w:hAnsi="Cambria Math" w:eastAsia="宋体" w:cs="宋体"/>
                  <w:color w:val="000000"/>
                  <w:kern w:val="0"/>
                  <w:sz w:val="22"/>
                  <w:szCs w:val="22"/>
                  <w:u w:val="none"/>
                  <w:lang w:val="en-US" w:eastAsia="zh-CN" w:bidi="ar"/>
                </w:rPr>
                <m:t>≥60</m:t>
              </m:r>
            </m:oMath>
            <w:r>
              <w:rPr>
                <w:rFonts w:hint="eastAsia" w:ascii="宋体" w:hAnsi="宋体" w:eastAsia="宋体" w:cs="宋体"/>
                <w:b w:val="0"/>
                <w:i w:val="0"/>
                <w:iCs w:val="0"/>
                <w:color w:val="000000"/>
                <w:kern w:val="0"/>
                <w:sz w:val="22"/>
                <w:szCs w:val="22"/>
                <w:u w:val="none"/>
                <w:lang w:val="en-US" w:eastAsia="zh-CN" w:bidi="ar"/>
              </w:rPr>
              <w:t>岁</w:t>
            </w:r>
          </w:p>
        </w:tc>
        <w:tc>
          <w:tcPr>
            <w:tcW w:w="2322" w:type="dxa"/>
            <w:tcBorders>
              <w:top w:val="nil"/>
              <w:left w:val="nil"/>
              <w:bottom w:val="single" w:color="000000" w:sz="12" w:space="0"/>
              <w:right w:val="nil"/>
            </w:tcBorders>
            <w:shd w:val="clear" w:color="auto" w:fill="FFFFFF"/>
            <w:vAlign w:val="center"/>
          </w:tcPr>
          <w:p w14:paraId="135300E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固定分级</w:t>
            </w:r>
          </w:p>
        </w:tc>
      </w:tr>
    </w:tbl>
    <w:p w14:paraId="5C1BCABD">
      <w:pPr>
        <w:jc w:val="left"/>
        <w:outlineLvl w:val="2"/>
        <w:rPr>
          <w:rFonts w:hint="eastAsia" w:ascii="Times New Roman" w:hAnsi="Times New Roman" w:eastAsia="宋体" w:cs="Times New Roman"/>
          <w:sz w:val="22"/>
          <w:szCs w:val="22"/>
          <w:lang w:eastAsia="zh-CN"/>
        </w:rPr>
      </w:pPr>
      <w:bookmarkStart w:id="77" w:name="_Toc17661"/>
      <w:bookmarkStart w:id="78" w:name="_Toc10314"/>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4</w:t>
      </w:r>
      <w:r>
        <w:rPr>
          <w:rFonts w:hint="eastAsia" w:ascii="Times New Roman" w:hAnsi="Times New Roman" w:eastAsia="宋体" w:cs="Times New Roman"/>
          <w:sz w:val="22"/>
          <w:szCs w:val="22"/>
          <w:lang w:eastAsia="zh-CN"/>
        </w:rPr>
        <w:t xml:space="preserve"> 特征组间差异与卡方检验</w:t>
      </w:r>
      <w:bookmarkEnd w:id="77"/>
      <w:bookmarkEnd w:id="78"/>
    </w:p>
    <w:p w14:paraId="19A6ECF8">
      <w:pPr>
        <w:ind w:firstLine="220" w:firstLineChars="1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对15项离散化特征进行卡方检验，对比其在痰湿体质高风险组与非高风险组的分布差异，结果显示：高TG、高TC、高血尿酸差异极显著（</w:t>
      </w:r>
      <m:oMath>
        <m:r>
          <m:rPr>
            <m:sty m:val="p"/>
          </m:rPr>
          <w:rPr>
            <w:rFonts w:hint="eastAsia" w:ascii="Cambria Math" w:hAnsi="Cambria Math" w:eastAsia="宋体" w:cs="Times New Roman"/>
            <w:kern w:val="2"/>
            <w:sz w:val="22"/>
            <w:szCs w:val="22"/>
            <w:lang w:val="en-US" w:eastAsia="zh-CN" w:bidi="ar-SA"/>
          </w:rPr>
          <m:t>∗p&lt;0.001</m:t>
        </m:r>
      </m:oMath>
      <w:r>
        <w:rPr>
          <w:rFonts w:hint="eastAsia" w:ascii="Times New Roman" w:hAnsi="Times New Roman" w:eastAsia="宋体" w:cs="Times New Roman"/>
          <w:sz w:val="22"/>
          <w:szCs w:val="22"/>
          <w:lang w:eastAsia="zh-CN"/>
        </w:rPr>
        <w:t>），高LDL-C差异显著（</w:t>
      </w:r>
      <m:oMath>
        <m:r>
          <m:rPr>
            <m:sty m:val="p"/>
          </m:rPr>
          <w:rPr>
            <w:rFonts w:hint="eastAsia" w:ascii="Cambria Math" w:hAnsi="Cambria Math" w:eastAsia="宋体" w:cs="Times New Roman"/>
            <w:kern w:val="2"/>
            <w:sz w:val="22"/>
            <w:szCs w:val="22"/>
            <w:lang w:val="en-US" w:eastAsia="zh-CN" w:bidi="ar-SA"/>
          </w:rPr>
          <m:t>p&lt;0.01</m:t>
        </m:r>
      </m:oMath>
      <w:r>
        <w:rPr>
          <w:rFonts w:hint="eastAsia" w:ascii="Times New Roman" w:hAnsi="Times New Roman" w:eastAsia="宋体" w:cs="Times New Roman"/>
          <w:sz w:val="22"/>
          <w:szCs w:val="22"/>
          <w:lang w:eastAsia="zh-CN"/>
        </w:rPr>
        <w:t>），其余特征无统计学差异。</w:t>
      </w:r>
    </w:p>
    <w:p w14:paraId="3941B651">
      <w:pPr>
        <w:jc w:val="left"/>
        <w:rPr>
          <w:rFonts w:hint="eastAsia" w:ascii="Times New Roman" w:hAnsi="Times New Roman" w:eastAsia="宋体" w:cs="Times New Roman"/>
          <w:sz w:val="20"/>
          <w:szCs w:val="20"/>
          <w:lang w:eastAsia="zh-CN"/>
        </w:rPr>
      </w:pPr>
    </w:p>
    <w:p w14:paraId="21AD1610">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14</w:t>
      </w:r>
      <w:r>
        <w:rPr>
          <w:rFonts w:hint="eastAsia" w:ascii="Times New Roman" w:hAnsi="Times New Roman" w:eastAsia="宋体" w:cs="Times New Roman"/>
          <w:sz w:val="20"/>
          <w:szCs w:val="20"/>
          <w:lang w:eastAsia="zh-CN"/>
        </w:rPr>
        <w:t xml:space="preserve"> 痰湿体质高/非高风险组特征差异与卡方检验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434"/>
        <w:gridCol w:w="1532"/>
        <w:gridCol w:w="904"/>
        <w:gridCol w:w="1051"/>
        <w:gridCol w:w="1014"/>
        <w:gridCol w:w="1139"/>
        <w:gridCol w:w="1006"/>
      </w:tblGrid>
      <w:tr w14:paraId="7752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27D7292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1448" w:type="dxa"/>
            <w:tcBorders>
              <w:top w:val="single" w:color="000000" w:sz="12" w:space="0"/>
              <w:left w:val="nil"/>
              <w:bottom w:val="single" w:color="000000" w:sz="4" w:space="0"/>
              <w:right w:val="nil"/>
            </w:tcBorders>
            <w:shd w:val="clear" w:color="auto" w:fill="FFFFFF"/>
            <w:vAlign w:val="center"/>
          </w:tcPr>
          <w:p w14:paraId="02FF16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高风险频率</w:t>
            </w:r>
          </w:p>
        </w:tc>
        <w:tc>
          <w:tcPr>
            <w:tcW w:w="1544" w:type="dxa"/>
            <w:tcBorders>
              <w:top w:val="single" w:color="000000" w:sz="12" w:space="0"/>
              <w:left w:val="nil"/>
              <w:bottom w:val="single" w:color="000000" w:sz="4" w:space="0"/>
              <w:right w:val="nil"/>
            </w:tcBorders>
            <w:shd w:val="clear" w:color="auto" w:fill="FFFFFF"/>
            <w:vAlign w:val="center"/>
          </w:tcPr>
          <w:p w14:paraId="752D909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非高风险频率</w:t>
            </w:r>
          </w:p>
        </w:tc>
        <w:tc>
          <w:tcPr>
            <w:tcW w:w="904" w:type="dxa"/>
            <w:tcBorders>
              <w:top w:val="single" w:color="000000" w:sz="12" w:space="0"/>
              <w:left w:val="nil"/>
              <w:bottom w:val="single" w:color="000000" w:sz="4" w:space="0"/>
              <w:right w:val="nil"/>
            </w:tcBorders>
            <w:shd w:val="clear" w:color="auto" w:fill="FFFFFF"/>
            <w:vAlign w:val="center"/>
          </w:tcPr>
          <w:p w14:paraId="225CB2D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差异</w:t>
            </w:r>
          </w:p>
        </w:tc>
        <w:tc>
          <w:tcPr>
            <w:tcW w:w="1056" w:type="dxa"/>
            <w:tcBorders>
              <w:top w:val="single" w:color="000000" w:sz="12" w:space="0"/>
              <w:left w:val="nil"/>
              <w:bottom w:val="single" w:color="000000" w:sz="4" w:space="0"/>
              <w:right w:val="nil"/>
            </w:tcBorders>
            <w:shd w:val="clear" w:color="auto" w:fill="FFFFFF"/>
            <w:vAlign w:val="center"/>
          </w:tcPr>
          <w:p w14:paraId="4DBFA7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卡方值</w:t>
            </w:r>
          </w:p>
        </w:tc>
        <w:tc>
          <w:tcPr>
            <w:tcW w:w="1016" w:type="dxa"/>
            <w:tcBorders>
              <w:top w:val="single" w:color="000000" w:sz="12" w:space="0"/>
              <w:left w:val="nil"/>
              <w:bottom w:val="single" w:color="000000" w:sz="4" w:space="0"/>
              <w:right w:val="nil"/>
            </w:tcBorders>
            <w:shd w:val="clear" w:color="auto" w:fill="FFFFFF"/>
            <w:vAlign w:val="center"/>
          </w:tcPr>
          <w:p w14:paraId="6D98875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p 值</w:t>
            </w:r>
          </w:p>
        </w:tc>
        <w:tc>
          <w:tcPr>
            <w:tcW w:w="1144" w:type="dxa"/>
            <w:tcBorders>
              <w:top w:val="single" w:color="000000" w:sz="12" w:space="0"/>
              <w:left w:val="nil"/>
              <w:bottom w:val="single" w:color="000000" w:sz="4" w:space="0"/>
              <w:right w:val="nil"/>
            </w:tcBorders>
            <w:shd w:val="clear" w:color="auto" w:fill="FFFFFF"/>
            <w:vAlign w:val="center"/>
          </w:tcPr>
          <w:p w14:paraId="0873FCF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Phi 系数</w:t>
            </w:r>
          </w:p>
        </w:tc>
        <w:tc>
          <w:tcPr>
            <w:tcW w:w="1014" w:type="dxa"/>
            <w:tcBorders>
              <w:top w:val="single" w:color="000000" w:sz="12" w:space="0"/>
              <w:left w:val="nil"/>
              <w:bottom w:val="single" w:color="000000" w:sz="4" w:space="0"/>
              <w:right w:val="nil"/>
            </w:tcBorders>
            <w:shd w:val="clear" w:color="auto" w:fill="FFFFFF"/>
            <w:vAlign w:val="center"/>
          </w:tcPr>
          <w:p w14:paraId="37C5E73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显著性</w:t>
            </w:r>
          </w:p>
        </w:tc>
      </w:tr>
      <w:tr w14:paraId="7FA7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4" w:space="0"/>
              <w:left w:val="nil"/>
              <w:bottom w:val="nil"/>
              <w:right w:val="nil"/>
            </w:tcBorders>
            <w:shd w:val="clear" w:color="auto" w:fill="FFFFFF"/>
            <w:vAlign w:val="center"/>
          </w:tcPr>
          <w:p w14:paraId="6963E85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TG (&gt;1.92)</w:t>
            </w:r>
          </w:p>
        </w:tc>
        <w:tc>
          <w:tcPr>
            <w:tcW w:w="1448" w:type="dxa"/>
            <w:tcBorders>
              <w:top w:val="single" w:color="000000" w:sz="4" w:space="0"/>
              <w:left w:val="nil"/>
              <w:bottom w:val="nil"/>
              <w:right w:val="nil"/>
            </w:tcBorders>
            <w:shd w:val="clear" w:color="auto" w:fill="FFFFFF"/>
            <w:vAlign w:val="center"/>
          </w:tcPr>
          <w:p w14:paraId="102BF89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w:t>
            </w:r>
          </w:p>
        </w:tc>
        <w:tc>
          <w:tcPr>
            <w:tcW w:w="1544" w:type="dxa"/>
            <w:tcBorders>
              <w:top w:val="single" w:color="000000" w:sz="4" w:space="0"/>
              <w:left w:val="nil"/>
              <w:bottom w:val="nil"/>
              <w:right w:val="nil"/>
            </w:tcBorders>
            <w:shd w:val="clear" w:color="auto" w:fill="FFFFFF"/>
            <w:vAlign w:val="center"/>
          </w:tcPr>
          <w:p w14:paraId="11A6E42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0.0385</w:t>
            </w:r>
          </w:p>
        </w:tc>
        <w:tc>
          <w:tcPr>
            <w:tcW w:w="904" w:type="dxa"/>
            <w:tcBorders>
              <w:top w:val="single" w:color="000000" w:sz="4" w:space="0"/>
              <w:left w:val="nil"/>
              <w:bottom w:val="nil"/>
              <w:right w:val="nil"/>
            </w:tcBorders>
            <w:shd w:val="clear" w:color="auto" w:fill="FFFFFF"/>
            <w:vAlign w:val="center"/>
          </w:tcPr>
          <w:p w14:paraId="7B08732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0.5415</w:t>
            </w:r>
          </w:p>
        </w:tc>
        <w:tc>
          <w:tcPr>
            <w:tcW w:w="1056" w:type="dxa"/>
            <w:tcBorders>
              <w:top w:val="single" w:color="000000" w:sz="4" w:space="0"/>
              <w:left w:val="nil"/>
              <w:bottom w:val="nil"/>
              <w:right w:val="nil"/>
            </w:tcBorders>
            <w:shd w:val="clear" w:color="auto" w:fill="FFFFFF"/>
            <w:vAlign w:val="center"/>
          </w:tcPr>
          <w:p w14:paraId="4570AA0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67.22</w:t>
            </w:r>
          </w:p>
        </w:tc>
        <w:tc>
          <w:tcPr>
            <w:tcW w:w="1016" w:type="dxa"/>
            <w:tcBorders>
              <w:top w:val="single" w:color="000000" w:sz="4" w:space="0"/>
              <w:left w:val="nil"/>
              <w:bottom w:val="nil"/>
              <w:right w:val="nil"/>
            </w:tcBorders>
            <w:shd w:val="clear" w:color="auto" w:fill="FFFFFF"/>
            <w:vAlign w:val="center"/>
          </w:tcPr>
          <w:p w14:paraId="1DF68A9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single" w:color="000000" w:sz="4" w:space="0"/>
              <w:left w:val="nil"/>
              <w:bottom w:val="nil"/>
              <w:right w:val="nil"/>
            </w:tcBorders>
            <w:shd w:val="clear" w:color="auto" w:fill="FFFFFF"/>
            <w:vAlign w:val="center"/>
          </w:tcPr>
          <w:p w14:paraId="6D0890B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0.4917</w:t>
            </w:r>
          </w:p>
        </w:tc>
        <w:tc>
          <w:tcPr>
            <w:tcW w:w="1014" w:type="dxa"/>
            <w:tcBorders>
              <w:top w:val="single" w:color="000000" w:sz="4" w:space="0"/>
              <w:left w:val="nil"/>
              <w:bottom w:val="nil"/>
              <w:right w:val="nil"/>
            </w:tcBorders>
            <w:shd w:val="clear" w:color="auto" w:fill="FFFFFF"/>
            <w:vAlign w:val="center"/>
          </w:tcPr>
          <w:p w14:paraId="07A118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6177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1EED21B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TC (&gt;6.16)</w:t>
            </w:r>
          </w:p>
        </w:tc>
        <w:tc>
          <w:tcPr>
            <w:tcW w:w="1448" w:type="dxa"/>
            <w:tcBorders>
              <w:top w:val="nil"/>
              <w:left w:val="nil"/>
              <w:bottom w:val="nil"/>
              <w:right w:val="nil"/>
            </w:tcBorders>
            <w:shd w:val="clear" w:color="auto" w:fill="FFFFFF"/>
            <w:vAlign w:val="center"/>
          </w:tcPr>
          <w:p w14:paraId="7924DAC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0.59</w:t>
            </w:r>
          </w:p>
        </w:tc>
        <w:tc>
          <w:tcPr>
            <w:tcW w:w="1544" w:type="dxa"/>
            <w:tcBorders>
              <w:top w:val="nil"/>
              <w:left w:val="nil"/>
              <w:bottom w:val="nil"/>
              <w:right w:val="nil"/>
            </w:tcBorders>
            <w:shd w:val="clear" w:color="auto" w:fill="FFFFFF"/>
            <w:vAlign w:val="center"/>
          </w:tcPr>
          <w:p w14:paraId="5309F8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0.0769</w:t>
            </w:r>
          </w:p>
        </w:tc>
        <w:tc>
          <w:tcPr>
            <w:tcW w:w="904" w:type="dxa"/>
            <w:tcBorders>
              <w:top w:val="nil"/>
              <w:left w:val="nil"/>
              <w:bottom w:val="nil"/>
              <w:right w:val="nil"/>
            </w:tcBorders>
            <w:shd w:val="clear" w:color="auto" w:fill="FFFFFF"/>
            <w:vAlign w:val="center"/>
          </w:tcPr>
          <w:p w14:paraId="14EC3C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0.5081</w:t>
            </w:r>
          </w:p>
        </w:tc>
        <w:tc>
          <w:tcPr>
            <w:tcW w:w="1056" w:type="dxa"/>
            <w:tcBorders>
              <w:top w:val="nil"/>
              <w:left w:val="nil"/>
              <w:bottom w:val="nil"/>
              <w:right w:val="nil"/>
            </w:tcBorders>
            <w:shd w:val="clear" w:color="auto" w:fill="FFFFFF"/>
            <w:vAlign w:val="center"/>
          </w:tcPr>
          <w:p w14:paraId="0CD8BA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58.72</w:t>
            </w:r>
          </w:p>
        </w:tc>
        <w:tc>
          <w:tcPr>
            <w:tcW w:w="1016" w:type="dxa"/>
            <w:tcBorders>
              <w:top w:val="nil"/>
              <w:left w:val="nil"/>
              <w:bottom w:val="nil"/>
              <w:right w:val="nil"/>
            </w:tcBorders>
            <w:shd w:val="clear" w:color="auto" w:fill="FFFFFF"/>
            <w:vAlign w:val="center"/>
          </w:tcPr>
          <w:p w14:paraId="207150E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nil"/>
              <w:left w:val="nil"/>
              <w:bottom w:val="nil"/>
              <w:right w:val="nil"/>
            </w:tcBorders>
            <w:shd w:val="clear" w:color="auto" w:fill="FFFFFF"/>
            <w:vAlign w:val="center"/>
          </w:tcPr>
          <w:p w14:paraId="493DA78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0.4596</w:t>
            </w:r>
          </w:p>
        </w:tc>
        <w:tc>
          <w:tcPr>
            <w:tcW w:w="1014" w:type="dxa"/>
            <w:tcBorders>
              <w:top w:val="nil"/>
              <w:left w:val="nil"/>
              <w:bottom w:val="nil"/>
              <w:right w:val="nil"/>
            </w:tcBorders>
            <w:shd w:val="clear" w:color="auto" w:fill="FFFFFF"/>
            <w:vAlign w:val="center"/>
          </w:tcPr>
          <w:p w14:paraId="44A6D23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1C1A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79DC9E1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高血尿酸 (&gt;383.50)</w:t>
            </w:r>
          </w:p>
        </w:tc>
        <w:tc>
          <w:tcPr>
            <w:tcW w:w="1448" w:type="dxa"/>
            <w:tcBorders>
              <w:top w:val="nil"/>
              <w:left w:val="nil"/>
              <w:bottom w:val="nil"/>
              <w:right w:val="nil"/>
            </w:tcBorders>
            <w:shd w:val="clear" w:color="auto" w:fill="FFFFFF"/>
            <w:vAlign w:val="center"/>
          </w:tcPr>
          <w:p w14:paraId="2513F7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w:t>
            </w:r>
          </w:p>
        </w:tc>
        <w:tc>
          <w:tcPr>
            <w:tcW w:w="1544" w:type="dxa"/>
            <w:tcBorders>
              <w:top w:val="nil"/>
              <w:left w:val="nil"/>
              <w:bottom w:val="nil"/>
              <w:right w:val="nil"/>
            </w:tcBorders>
            <w:shd w:val="clear" w:color="auto" w:fill="FFFFFF"/>
            <w:vAlign w:val="center"/>
          </w:tcPr>
          <w:p w14:paraId="25A123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0.1923</w:t>
            </w:r>
          </w:p>
        </w:tc>
        <w:tc>
          <w:tcPr>
            <w:tcW w:w="904" w:type="dxa"/>
            <w:tcBorders>
              <w:top w:val="nil"/>
              <w:left w:val="nil"/>
              <w:bottom w:val="nil"/>
              <w:right w:val="nil"/>
            </w:tcBorders>
            <w:shd w:val="clear" w:color="auto" w:fill="FFFFFF"/>
            <w:vAlign w:val="center"/>
          </w:tcPr>
          <w:p w14:paraId="501A4BA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0.3877</w:t>
            </w:r>
          </w:p>
        </w:tc>
        <w:tc>
          <w:tcPr>
            <w:tcW w:w="1056" w:type="dxa"/>
            <w:tcBorders>
              <w:top w:val="nil"/>
              <w:left w:val="nil"/>
              <w:bottom w:val="nil"/>
              <w:right w:val="nil"/>
            </w:tcBorders>
            <w:shd w:val="clear" w:color="auto" w:fill="FFFFFF"/>
            <w:vAlign w:val="center"/>
          </w:tcPr>
          <w:p w14:paraId="38B8622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33.85</w:t>
            </w:r>
          </w:p>
        </w:tc>
        <w:tc>
          <w:tcPr>
            <w:tcW w:w="1016" w:type="dxa"/>
            <w:tcBorders>
              <w:top w:val="nil"/>
              <w:left w:val="nil"/>
              <w:bottom w:val="nil"/>
              <w:right w:val="nil"/>
            </w:tcBorders>
            <w:shd w:val="clear" w:color="auto" w:fill="FFFFFF"/>
            <w:vAlign w:val="center"/>
          </w:tcPr>
          <w:p w14:paraId="059348A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nil"/>
              <w:left w:val="nil"/>
              <w:bottom w:val="nil"/>
              <w:right w:val="nil"/>
            </w:tcBorders>
            <w:shd w:val="clear" w:color="auto" w:fill="FFFFFF"/>
            <w:vAlign w:val="center"/>
          </w:tcPr>
          <w:p w14:paraId="1C48939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0.3489</w:t>
            </w:r>
          </w:p>
        </w:tc>
        <w:tc>
          <w:tcPr>
            <w:tcW w:w="1014" w:type="dxa"/>
            <w:tcBorders>
              <w:top w:val="nil"/>
              <w:left w:val="nil"/>
              <w:bottom w:val="nil"/>
              <w:right w:val="nil"/>
            </w:tcBorders>
            <w:shd w:val="clear" w:color="auto" w:fill="FFFFFF"/>
            <w:vAlign w:val="center"/>
          </w:tcPr>
          <w:p w14:paraId="4779334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48EA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3F8153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LDL-C</w:t>
            </w:r>
          </w:p>
        </w:tc>
        <w:tc>
          <w:tcPr>
            <w:tcW w:w="1448" w:type="dxa"/>
            <w:tcBorders>
              <w:top w:val="nil"/>
              <w:left w:val="nil"/>
              <w:bottom w:val="nil"/>
              <w:right w:val="nil"/>
            </w:tcBorders>
            <w:shd w:val="clear" w:color="auto" w:fill="FFFFFF"/>
            <w:vAlign w:val="center"/>
          </w:tcPr>
          <w:p w14:paraId="4A10ECB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0.5</w:t>
            </w:r>
            <w:r>
              <w:rPr>
                <w:rFonts w:hint="eastAsia" w:ascii="宋体" w:hAnsi="宋体" w:cs="宋体"/>
                <w:b w:val="0"/>
                <w:i w:val="0"/>
                <w:iCs w:val="0"/>
                <w:color w:val="000000"/>
                <w:kern w:val="0"/>
                <w:sz w:val="22"/>
                <w:szCs w:val="22"/>
                <w:u w:val="none"/>
                <w:lang w:val="en-US" w:eastAsia="zh-CN" w:bidi="ar"/>
              </w:rPr>
              <w:t>0</w:t>
            </w:r>
          </w:p>
        </w:tc>
        <w:tc>
          <w:tcPr>
            <w:tcW w:w="1544" w:type="dxa"/>
            <w:tcBorders>
              <w:top w:val="nil"/>
              <w:left w:val="nil"/>
              <w:bottom w:val="nil"/>
              <w:right w:val="nil"/>
            </w:tcBorders>
            <w:shd w:val="clear" w:color="auto" w:fill="FFFFFF"/>
            <w:vAlign w:val="center"/>
          </w:tcPr>
          <w:p w14:paraId="08B0C4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0.2821</w:t>
            </w:r>
          </w:p>
        </w:tc>
        <w:tc>
          <w:tcPr>
            <w:tcW w:w="904" w:type="dxa"/>
            <w:tcBorders>
              <w:top w:val="nil"/>
              <w:left w:val="nil"/>
              <w:bottom w:val="nil"/>
              <w:right w:val="nil"/>
            </w:tcBorders>
            <w:shd w:val="clear" w:color="auto" w:fill="FFFFFF"/>
            <w:vAlign w:val="center"/>
          </w:tcPr>
          <w:p w14:paraId="3771A8A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0.2179</w:t>
            </w:r>
          </w:p>
        </w:tc>
        <w:tc>
          <w:tcPr>
            <w:tcW w:w="1056" w:type="dxa"/>
            <w:tcBorders>
              <w:top w:val="nil"/>
              <w:left w:val="nil"/>
              <w:bottom w:val="nil"/>
              <w:right w:val="nil"/>
            </w:tcBorders>
            <w:shd w:val="clear" w:color="auto" w:fill="FFFFFF"/>
            <w:vAlign w:val="center"/>
          </w:tcPr>
          <w:p w14:paraId="0605DD1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10.82</w:t>
            </w:r>
          </w:p>
        </w:tc>
        <w:tc>
          <w:tcPr>
            <w:tcW w:w="1016" w:type="dxa"/>
            <w:tcBorders>
              <w:top w:val="nil"/>
              <w:left w:val="nil"/>
              <w:bottom w:val="nil"/>
              <w:right w:val="nil"/>
            </w:tcBorders>
            <w:shd w:val="clear" w:color="auto" w:fill="FFFFFF"/>
            <w:vAlign w:val="center"/>
          </w:tcPr>
          <w:p w14:paraId="1F7324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0.001</m:t>
                </m:r>
              </m:oMath>
            </m:oMathPara>
          </w:p>
        </w:tc>
        <w:tc>
          <w:tcPr>
            <w:tcW w:w="1144" w:type="dxa"/>
            <w:tcBorders>
              <w:top w:val="nil"/>
              <w:left w:val="nil"/>
              <w:bottom w:val="nil"/>
              <w:right w:val="nil"/>
            </w:tcBorders>
            <w:shd w:val="clear" w:color="auto" w:fill="FFFFFF"/>
            <w:vAlign w:val="center"/>
          </w:tcPr>
          <w:p w14:paraId="0BD96B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0.1973</w:t>
            </w:r>
          </w:p>
        </w:tc>
        <w:tc>
          <w:tcPr>
            <w:tcW w:w="1014" w:type="dxa"/>
            <w:tcBorders>
              <w:top w:val="nil"/>
              <w:left w:val="nil"/>
              <w:bottom w:val="nil"/>
              <w:right w:val="nil"/>
            </w:tcBorders>
            <w:shd w:val="clear" w:color="auto" w:fill="FFFFFF"/>
            <w:vAlign w:val="center"/>
          </w:tcPr>
          <w:p w14:paraId="3D2723A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2DFA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single" w:color="000000" w:sz="12" w:space="0"/>
              <w:right w:val="nil"/>
            </w:tcBorders>
            <w:shd w:val="clear" w:color="auto" w:fill="FFFFFF"/>
            <w:vAlign w:val="center"/>
          </w:tcPr>
          <w:p w14:paraId="5503A54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其余特征</w:t>
            </w:r>
          </w:p>
        </w:tc>
        <w:tc>
          <w:tcPr>
            <w:tcW w:w="1448" w:type="dxa"/>
            <w:tcBorders>
              <w:top w:val="nil"/>
              <w:left w:val="nil"/>
              <w:bottom w:val="single" w:color="000000" w:sz="12" w:space="0"/>
              <w:right w:val="nil"/>
            </w:tcBorders>
            <w:shd w:val="clear" w:color="auto" w:fill="FFFFFF"/>
            <w:vAlign w:val="center"/>
          </w:tcPr>
          <w:p w14:paraId="72DFFEF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544" w:type="dxa"/>
            <w:tcBorders>
              <w:top w:val="nil"/>
              <w:left w:val="nil"/>
              <w:bottom w:val="single" w:color="000000" w:sz="12" w:space="0"/>
              <w:right w:val="nil"/>
            </w:tcBorders>
            <w:shd w:val="clear" w:color="auto" w:fill="FFFFFF"/>
            <w:vAlign w:val="center"/>
          </w:tcPr>
          <w:p w14:paraId="1F02435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904" w:type="dxa"/>
            <w:tcBorders>
              <w:top w:val="nil"/>
              <w:left w:val="nil"/>
              <w:bottom w:val="single" w:color="000000" w:sz="12" w:space="0"/>
              <w:right w:val="nil"/>
            </w:tcBorders>
            <w:shd w:val="clear" w:color="auto" w:fill="FFFFFF"/>
            <w:vAlign w:val="center"/>
          </w:tcPr>
          <w:p w14:paraId="491B686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56" w:type="dxa"/>
            <w:tcBorders>
              <w:top w:val="nil"/>
              <w:left w:val="nil"/>
              <w:bottom w:val="single" w:color="000000" w:sz="12" w:space="0"/>
              <w:right w:val="nil"/>
            </w:tcBorders>
            <w:shd w:val="clear" w:color="auto" w:fill="FFFFFF"/>
            <w:vAlign w:val="center"/>
          </w:tcPr>
          <w:p w14:paraId="3C112C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16" w:type="dxa"/>
            <w:tcBorders>
              <w:top w:val="nil"/>
              <w:left w:val="nil"/>
              <w:bottom w:val="single" w:color="000000" w:sz="12" w:space="0"/>
              <w:right w:val="nil"/>
            </w:tcBorders>
            <w:shd w:val="clear" w:color="auto" w:fill="FFFFFF"/>
            <w:vAlign w:val="center"/>
          </w:tcPr>
          <w:p w14:paraId="05D9D6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&gt;0.05</m:t>
                </m:r>
              </m:oMath>
            </m:oMathPara>
          </w:p>
        </w:tc>
        <w:tc>
          <w:tcPr>
            <w:tcW w:w="1144" w:type="dxa"/>
            <w:tcBorders>
              <w:top w:val="nil"/>
              <w:left w:val="nil"/>
              <w:bottom w:val="single" w:color="000000" w:sz="12" w:space="0"/>
              <w:right w:val="nil"/>
            </w:tcBorders>
            <w:shd w:val="clear" w:color="auto" w:fill="FFFFFF"/>
            <w:vAlign w:val="center"/>
          </w:tcPr>
          <w:p w14:paraId="0F54D9C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14" w:type="dxa"/>
            <w:tcBorders>
              <w:top w:val="nil"/>
              <w:left w:val="nil"/>
              <w:bottom w:val="single" w:color="000000" w:sz="12" w:space="0"/>
              <w:right w:val="nil"/>
            </w:tcBorders>
            <w:shd w:val="clear" w:color="auto" w:fill="FFFFFF"/>
            <w:vAlign w:val="center"/>
          </w:tcPr>
          <w:p w14:paraId="097FBB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ns</w:t>
            </w:r>
          </w:p>
        </w:tc>
      </w:tr>
    </w:tbl>
    <w:p w14:paraId="45F0611D">
      <w:pPr>
        <w:ind w:firstLine="220" w:firstLineChars="100"/>
        <w:jc w:val="left"/>
        <w:rPr>
          <w:rFonts w:hint="eastAsia" w:ascii="Times New Roman" w:hAnsi="Times New Roman" w:eastAsia="宋体" w:cs="Times New Roman"/>
          <w:sz w:val="22"/>
          <w:szCs w:val="22"/>
          <w:lang w:eastAsia="zh-CN"/>
        </w:rPr>
      </w:pPr>
    </w:p>
    <w:p w14:paraId="5CDB7154">
      <w:pPr>
        <w:ind w:firstLine="220" w:firstLineChars="1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267075"/>
            <wp:effectExtent l="0" t="0" r="9525" b="9525"/>
            <wp:docPr id="13" name="图片 13" descr="C:/Users/Kandao/Desktop/bisai/MathorCup_2026_C_Project/output/q2_2/feature_frequency_comparison.pngfeature_frequenc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Kandao/Desktop/bisai/MathorCup_2026_C_Project/output/q2_2/feature_frequency_comparison.pngfeature_frequency_comparison"/>
                    <pic:cNvPicPr>
                      <a:picLocks noChangeAspect="1"/>
                    </pic:cNvPicPr>
                  </pic:nvPicPr>
                  <pic:blipFill>
                    <a:blip r:embed="rId19"/>
                    <a:srcRect l="10" r="10"/>
                    <a:stretch>
                      <a:fillRect/>
                    </a:stretch>
                  </pic:blipFill>
                  <pic:spPr>
                    <a:xfrm>
                      <a:off x="0" y="0"/>
                      <a:ext cx="5756275" cy="3267075"/>
                    </a:xfrm>
                    <a:prstGeom prst="rect">
                      <a:avLst/>
                    </a:prstGeom>
                  </pic:spPr>
                </pic:pic>
              </a:graphicData>
            </a:graphic>
          </wp:inline>
        </w:drawing>
      </w:r>
    </w:p>
    <w:p w14:paraId="09842081">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图13 痰湿体质高 / 非高风险组特征频率对比图</w:t>
      </w:r>
    </w:p>
    <w:p w14:paraId="313F8A79">
      <w:pPr>
        <w:jc w:val="both"/>
        <w:rPr>
          <w:rFonts w:hint="eastAsia" w:ascii="Times New Roman" w:hAnsi="Times New Roman" w:eastAsia="宋体" w:cs="Times New Roman"/>
          <w:sz w:val="22"/>
          <w:szCs w:val="22"/>
          <w:lang w:eastAsia="zh-CN"/>
        </w:rPr>
      </w:pPr>
    </w:p>
    <w:p w14:paraId="0726CE61">
      <w:pPr>
        <w:jc w:val="both"/>
        <w:outlineLvl w:val="2"/>
        <w:rPr>
          <w:rFonts w:hint="eastAsia" w:ascii="Times New Roman" w:hAnsi="Times New Roman" w:eastAsia="宋体" w:cs="Times New Roman"/>
          <w:sz w:val="22"/>
          <w:szCs w:val="22"/>
          <w:lang w:eastAsia="zh-CN"/>
        </w:rPr>
      </w:pPr>
      <w:bookmarkStart w:id="79" w:name="_Toc8217"/>
      <w:bookmarkStart w:id="80" w:name="_Toc1912"/>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5</w:t>
      </w:r>
      <w:r>
        <w:rPr>
          <w:rFonts w:hint="eastAsia" w:ascii="Times New Roman" w:hAnsi="Times New Roman" w:eastAsia="宋体" w:cs="Times New Roman"/>
          <w:sz w:val="22"/>
          <w:szCs w:val="22"/>
          <w:lang w:eastAsia="zh-CN"/>
        </w:rPr>
        <w:t xml:space="preserve"> 特征共现热力图分析</w:t>
      </w:r>
      <w:bookmarkEnd w:id="79"/>
      <w:bookmarkEnd w:id="80"/>
    </w:p>
    <w:p w14:paraId="34646ED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为直观展示高风险组内各特征的共现关系，绘制特征共现热力图，颜色越深代表两个特征同时出现的频率越高。</w:t>
      </w:r>
    </w:p>
    <w:p w14:paraId="11F6FCFA">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w:t>
      </w:r>
    </w:p>
    <w:p w14:paraId="77C9A5DF">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高TG与高TC、高血尿酸共现频率最高，说明高血脂核心指标在痰湿体质高风险人群中高度聚集；</w:t>
      </w:r>
    </w:p>
    <w:p w14:paraId="41C5207C">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有饮酒与高TG、低ADL共现频率较高，提示不良生活方式与代谢指标异常存在协同作用；</w:t>
      </w:r>
    </w:p>
    <w:p w14:paraId="467AF3EE">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老年与高TC共现频率较高，与关联规则结果一致。</w:t>
      </w:r>
    </w:p>
    <w:p w14:paraId="537BCA66">
      <w:pPr>
        <w:ind w:firstLine="440" w:firstLineChars="200"/>
        <w:jc w:val="both"/>
        <w:rPr>
          <w:rFonts w:hint="eastAsia" w:ascii="Times New Roman" w:hAnsi="Times New Roman" w:eastAsia="宋体" w:cs="Times New Roman"/>
          <w:sz w:val="22"/>
          <w:szCs w:val="22"/>
          <w:lang w:eastAsia="zh-CN"/>
        </w:rPr>
      </w:pPr>
    </w:p>
    <w:p w14:paraId="0C205E66">
      <w:pPr>
        <w:ind w:firstLine="440" w:firstLineChars="200"/>
        <w:jc w:val="both"/>
        <w:rPr>
          <w:rFonts w:hint="eastAsia" w:ascii="Times New Roman" w:hAnsi="Times New Roman" w:eastAsia="宋体" w:cs="Times New Roman"/>
          <w:sz w:val="22"/>
          <w:szCs w:val="22"/>
          <w:lang w:eastAsia="zh-CN"/>
        </w:rPr>
      </w:pPr>
    </w:p>
    <w:p w14:paraId="4FCFDC99">
      <w:pPr>
        <w:ind w:firstLine="44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2"/>
          <w:szCs w:val="22"/>
          <w:lang w:eastAsia="zh-CN"/>
        </w:rPr>
        <w:drawing>
          <wp:inline distT="0" distB="0" distL="114300" distR="114300">
            <wp:extent cx="5758815" cy="5046345"/>
            <wp:effectExtent l="0" t="0" r="6985" b="8255"/>
            <wp:docPr id="15" name="图片 15" descr="C:/Users/Kandao/Desktop/bisai/MathorCup_2026_C_Project/output/q2_2/feature_cooccurrence_heatmap.pngfeature_cooccurrenc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Kandao/Desktop/bisai/MathorCup_2026_C_Project/output/q2_2/feature_cooccurrence_heatmap.pngfeature_cooccurrence_heatmap"/>
                    <pic:cNvPicPr>
                      <a:picLocks noChangeAspect="1"/>
                    </pic:cNvPicPr>
                  </pic:nvPicPr>
                  <pic:blipFill>
                    <a:blip r:embed="rId20"/>
                    <a:srcRect l="63" r="63"/>
                    <a:stretch>
                      <a:fillRect/>
                    </a:stretch>
                  </pic:blipFill>
                  <pic:spPr>
                    <a:xfrm>
                      <a:off x="0" y="0"/>
                      <a:ext cx="5758815" cy="5046345"/>
                    </a:xfrm>
                    <a:prstGeom prst="rect">
                      <a:avLst/>
                    </a:prstGeom>
                  </pic:spPr>
                </pic:pic>
              </a:graphicData>
            </a:graphic>
          </wp:inline>
        </w:drawing>
      </w:r>
      <w:r>
        <w:rPr>
          <w:rFonts w:hint="eastAsia" w:ascii="Times New Roman" w:hAnsi="Times New Roman" w:eastAsia="宋体" w:cs="Times New Roman"/>
          <w:sz w:val="20"/>
          <w:szCs w:val="20"/>
          <w:lang w:eastAsia="zh-CN"/>
        </w:rPr>
        <w:t>图14 痰湿体质高风险人群特征共现热力图</w:t>
      </w:r>
    </w:p>
    <w:p w14:paraId="5718C2B7">
      <w:pPr>
        <w:jc w:val="both"/>
        <w:rPr>
          <w:rFonts w:hint="eastAsia" w:ascii="Times New Roman" w:hAnsi="Times New Roman" w:eastAsia="宋体" w:cs="Times New Roman"/>
          <w:sz w:val="22"/>
          <w:szCs w:val="22"/>
          <w:lang w:eastAsia="zh-CN"/>
        </w:rPr>
      </w:pPr>
    </w:p>
    <w:p w14:paraId="11BF9B29">
      <w:pPr>
        <w:jc w:val="both"/>
        <w:outlineLvl w:val="2"/>
        <w:rPr>
          <w:rFonts w:hint="eastAsia" w:ascii="Times New Roman" w:hAnsi="Times New Roman" w:eastAsia="宋体" w:cs="Times New Roman"/>
          <w:sz w:val="22"/>
          <w:szCs w:val="22"/>
          <w:lang w:eastAsia="zh-CN"/>
        </w:rPr>
      </w:pPr>
      <w:bookmarkStart w:id="81" w:name="_Toc27691"/>
      <w:bookmarkStart w:id="82" w:name="_Toc5275"/>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6</w:t>
      </w:r>
      <w:r>
        <w:rPr>
          <w:rFonts w:hint="eastAsia" w:ascii="Times New Roman" w:hAnsi="Times New Roman" w:eastAsia="宋体" w:cs="Times New Roman"/>
          <w:sz w:val="22"/>
          <w:szCs w:val="22"/>
          <w:lang w:eastAsia="zh-CN"/>
        </w:rPr>
        <w:t xml:space="preserve"> Apriori频繁项集挖掘</w:t>
      </w:r>
      <w:bookmarkEnd w:id="81"/>
      <w:bookmarkEnd w:id="82"/>
    </w:p>
    <w:p w14:paraId="23758FE1">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Apriori 算法是关联规则挖掘的经典算法，核心通过三个指标评估规则的有效性：</w:t>
      </w:r>
    </w:p>
    <w:p w14:paraId="29C5EBBD">
      <w:pPr>
        <w:numPr>
          <w:ilvl w:val="0"/>
          <w:numId w:val="2"/>
        </w:num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支持度（Support）：项集X在所有交易中出现的频率，反映特征组合的普遍性</w:t>
      </w:r>
    </w:p>
    <w:p w14:paraId="1B5C5485">
      <w:pPr>
        <w:numPr>
          <w:ilvl w:val="0"/>
          <w:numId w:val="0"/>
        </w:numPr>
        <w:jc w:val="both"/>
        <w:rPr>
          <w:rFonts w:hint="eastAsia" w:ascii="Times New Roman" w:hAnsi="Times New Roman" w:eastAsia="宋体" w:cs="Times New Roman"/>
          <w:sz w:val="22"/>
          <w:szCs w:val="22"/>
          <w:lang w:eastAsia="zh-CN"/>
        </w:rPr>
      </w:pPr>
      <m:oMathPara>
        <m:oMath>
          <m:r>
            <m:rPr/>
            <w:rPr>
              <w:rFonts w:hint="default" w:ascii="Cambria Math" w:hAnsi="Cambria Math" w:eastAsia="宋体"/>
              <w:sz w:val="22"/>
            </w:rPr>
            <m:t>Support(X)=</m:t>
          </m:r>
          <m:f>
            <m:fPr>
              <m:ctrlPr>
                <w:rPr>
                  <w:rFonts w:hint="default" w:ascii="Cambria Math" w:hAnsi="Cambria Math" w:eastAsia="宋体"/>
                  <w:sz w:val="22"/>
                </w:rPr>
              </m:ctrlPr>
            </m:fPr>
            <m:num>
              <m:r>
                <m:rPr/>
                <w:rPr>
                  <w:rFonts w:hint="default" w:ascii="Cambria Math" w:hAnsi="Cambria Math" w:eastAsia="宋体"/>
                  <w:sz w:val="22"/>
                </w:rPr>
                <m:t>包含X的交易数</m:t>
              </m:r>
              <m:ctrlPr>
                <w:rPr>
                  <w:rFonts w:ascii="Cambria Math" w:hAnsi="Cambria Math" w:eastAsia="宋体"/>
                  <w:sz w:val="22"/>
                </w:rPr>
              </m:ctrlPr>
            </m:num>
            <m:den>
              <m:r>
                <m:rPr/>
                <w:rPr>
                  <w:rFonts w:hint="default" w:ascii="Cambria Math" w:hAnsi="Cambria Math" w:eastAsia="宋体"/>
                  <w:sz w:val="22"/>
                </w:rPr>
                <m:t>总交易数</m:t>
              </m:r>
              <m:ctrlPr>
                <w:rPr>
                  <w:rFonts w:ascii="Cambria Math" w:hAnsi="Cambria Math" w:eastAsia="宋体"/>
                  <w:sz w:val="22"/>
                </w:rPr>
              </m:ctrlPr>
            </m:den>
          </m:f>
        </m:oMath>
      </m:oMathPara>
    </w:p>
    <w:p w14:paraId="286EDA78">
      <w:pPr>
        <w:numPr>
          <w:ilvl w:val="0"/>
          <w:numId w:val="2"/>
        </w:numPr>
        <w:ind w:left="0" w:leftChars="0"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置信度（Confidence）：包含 X 的交易中同时包含Y的条件概率，反映规则的可靠性</w:t>
      </w:r>
    </w:p>
    <w:p w14:paraId="17BDFF79">
      <w:pPr>
        <w:numPr>
          <w:ilvl w:val="0"/>
          <w:numId w:val="0"/>
        </w:numPr>
        <w:ind w:leftChars="200"/>
        <w:jc w:val="both"/>
        <w:rPr>
          <w:rFonts w:hint="eastAsia" w:ascii="Times New Roman" w:hAnsi="Times New Roman" w:eastAsia="宋体" w:cs="Times New Roman"/>
          <w:sz w:val="22"/>
          <w:szCs w:val="22"/>
          <w:lang w:eastAsia="zh-CN"/>
        </w:rPr>
      </w:pPr>
      <m:oMathPara>
        <m:oMath>
          <m:r>
            <m:rPr/>
            <w:rPr>
              <w:rFonts w:hint="default" w:ascii="Cambria Math" w:hAnsi="Cambria Math" w:eastAsia="宋体"/>
              <w:sz w:val="22"/>
            </w:rPr>
            <m:t>Confidence(X→Y)=</m:t>
          </m:r>
          <m:f>
            <m:fPr>
              <m:ctrlPr>
                <w:rPr>
                  <w:rFonts w:hint="default" w:ascii="Cambria Math" w:hAnsi="Cambria Math" w:eastAsia="宋体"/>
                  <w:sz w:val="22"/>
                </w:rPr>
              </m:ctrlPr>
            </m:fPr>
            <m:num>
              <m:r>
                <m:rPr/>
                <w:rPr>
                  <w:rFonts w:hint="default" w:ascii="Cambria Math" w:hAnsi="Cambria Math" w:eastAsia="宋体"/>
                  <w:sz w:val="22"/>
                </w:rPr>
                <m:t>Support(X∪Y)</m:t>
              </m:r>
              <m:ctrlPr>
                <w:rPr>
                  <w:rFonts w:ascii="Cambria Math" w:hAnsi="Cambria Math" w:eastAsia="宋体"/>
                  <w:sz w:val="22"/>
                </w:rPr>
              </m:ctrlPr>
            </m:num>
            <m:den>
              <m:r>
                <m:rPr/>
                <w:rPr>
                  <w:rFonts w:hint="default" w:ascii="Cambria Math" w:hAnsi="Cambria Math" w:eastAsia="宋体"/>
                  <w:sz w:val="22"/>
                </w:rPr>
                <m:t>Support(X)</m:t>
              </m:r>
              <m:ctrlPr>
                <w:rPr>
                  <w:rFonts w:ascii="Cambria Math" w:hAnsi="Cambria Math" w:eastAsia="宋体"/>
                  <w:sz w:val="22"/>
                </w:rPr>
              </m:ctrlPr>
            </m:den>
          </m:f>
        </m:oMath>
      </m:oMathPara>
    </w:p>
    <w:p w14:paraId="344D949F">
      <w:pPr>
        <w:numPr>
          <w:ilvl w:val="0"/>
          <w:numId w:val="2"/>
        </w:numPr>
        <w:ind w:left="0" w:leftChars="0"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Lift值：衡量X和Y的关联强度，Lift&gt;1表示正相关，Lift=1表示独立，Lift&lt;1表示负相关</w:t>
      </w:r>
    </w:p>
    <w:p w14:paraId="1450C06B">
      <w:pPr>
        <w:numPr>
          <w:ilvl w:val="0"/>
          <w:numId w:val="0"/>
        </w:numPr>
        <w:ind w:leftChars="200"/>
        <w:jc w:val="center"/>
        <w:rPr>
          <w:rFonts w:hint="eastAsia" w:ascii="Times New Roman" w:hAnsi="Times New Roman" w:eastAsia="宋体" w:cs="Times New Roman"/>
          <w:sz w:val="22"/>
          <w:szCs w:val="22"/>
          <w:lang w:eastAsia="zh-CN"/>
        </w:rPr>
      </w:pPr>
      <m:oMath>
        <m:r>
          <m:rPr/>
          <w:rPr>
            <w:rFonts w:hint="default" w:ascii="Cambria Math" w:hAnsi="Cambria Math" w:eastAsia="宋体"/>
            <w:sz w:val="22"/>
          </w:rPr>
          <m:t>Lift(X→Y)=</m:t>
        </m:r>
        <m:f>
          <m:fPr>
            <m:ctrlPr>
              <w:rPr>
                <w:rFonts w:hint="default" w:ascii="Cambria Math" w:hAnsi="Cambria Math" w:eastAsia="宋体"/>
                <w:sz w:val="22"/>
              </w:rPr>
            </m:ctrlPr>
          </m:fPr>
          <m:num>
            <m:r>
              <m:rPr/>
              <w:rPr>
                <w:rFonts w:hint="default" w:ascii="Cambria Math" w:hAnsi="Cambria Math" w:eastAsia="宋体"/>
                <w:sz w:val="22"/>
              </w:rPr>
              <m:t>Confidence(X→Y)</m:t>
            </m:r>
            <m:ctrlPr>
              <w:rPr>
                <w:rFonts w:ascii="Cambria Math" w:hAnsi="Cambria Math" w:eastAsia="宋体"/>
                <w:sz w:val="22"/>
              </w:rPr>
            </m:ctrlPr>
          </m:num>
          <m:den>
            <m:r>
              <m:rPr/>
              <w:rPr>
                <w:rFonts w:hint="default" w:ascii="Cambria Math" w:hAnsi="Cambria Math" w:eastAsia="宋体"/>
                <w:sz w:val="22"/>
              </w:rPr>
              <m:t>Support(Y)</m:t>
            </m:r>
            <m:ctrlPr>
              <w:rPr>
                <w:rFonts w:ascii="Cambria Math" w:hAnsi="Cambria Math" w:eastAsia="宋体"/>
                <w:sz w:val="22"/>
              </w:rPr>
            </m:ctrlPr>
          </m:den>
        </m:f>
      </m:oMath>
      <w:r>
        <w:rPr>
          <w:rFonts w:hint="eastAsia" w:ascii="Times New Roman" w:hAnsi="Times New Roman" w:eastAsia="宋体" w:cs="Times New Roman"/>
          <w:sz w:val="22"/>
          <w:szCs w:val="22"/>
          <w:lang w:eastAsia="zh-CN"/>
        </w:rPr>
        <w:t>​</w:t>
      </w:r>
    </w:p>
    <w:p w14:paraId="444712C3">
      <w:pPr>
        <w:numPr>
          <w:ilvl w:val="0"/>
          <w:numId w:val="0"/>
        </w:num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设置最小支持度0.3、最小置信度0.5，在痰湿体质高风险组中挖掘频繁项集，共得到</w:t>
      </w:r>
      <w:r>
        <w:rPr>
          <w:rFonts w:hint="eastAsia" w:cs="Times New Roman"/>
          <w:sz w:val="22"/>
          <w:szCs w:val="22"/>
          <w:lang w:val="en-US" w:eastAsia="zh-CN"/>
        </w:rPr>
        <w:t>34</w:t>
      </w:r>
      <w:r>
        <w:rPr>
          <w:rFonts w:hint="eastAsia" w:ascii="Times New Roman" w:hAnsi="Times New Roman" w:eastAsia="宋体" w:cs="Times New Roman"/>
          <w:sz w:val="22"/>
          <w:szCs w:val="22"/>
          <w:lang w:eastAsia="zh-CN"/>
        </w:rPr>
        <w:t>个频繁项集，Top15高频特征组合如下：</w:t>
      </w:r>
    </w:p>
    <w:p w14:paraId="7DCCDBBD">
      <w:pPr>
        <w:jc w:val="left"/>
        <w:rPr>
          <w:rFonts w:hint="default" w:ascii="Times New Roman" w:hAnsi="Times New Roman" w:eastAsia="宋体" w:cs="Times New Roman"/>
          <w:sz w:val="20"/>
          <w:szCs w:val="20"/>
          <w:lang w:val="en-US" w:eastAsia="zh-CN"/>
        </w:rPr>
      </w:pPr>
    </w:p>
    <w:p w14:paraId="309EE2C4">
      <w:pPr>
        <w:jc w:val="left"/>
        <w:rPr>
          <w:rFonts w:hint="default" w:ascii="Times New Roman" w:hAnsi="Times New Roman" w:eastAsia="宋体" w:cs="Times New Roman"/>
          <w:sz w:val="20"/>
          <w:szCs w:val="20"/>
          <w:lang w:val="en-US" w:eastAsia="zh-CN"/>
        </w:rPr>
      </w:pPr>
    </w:p>
    <w:p w14:paraId="19CF95ED">
      <w:pPr>
        <w:jc w:val="left"/>
        <w:rPr>
          <w:rFonts w:hint="default" w:ascii="Times New Roman" w:hAnsi="Times New Roman" w:eastAsia="宋体" w:cs="Times New Roman"/>
          <w:sz w:val="20"/>
          <w:szCs w:val="20"/>
          <w:lang w:val="en-US" w:eastAsia="zh-CN"/>
        </w:rPr>
      </w:pPr>
    </w:p>
    <w:p w14:paraId="05BC2EA5">
      <w:pPr>
        <w:jc w:val="left"/>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表</w:t>
      </w:r>
      <w:r>
        <w:rPr>
          <w:rFonts w:hint="eastAsia" w:ascii="Times New Roman" w:hAnsi="Times New Roman" w:eastAsia="宋体" w:cs="Times New Roman"/>
          <w:sz w:val="20"/>
          <w:szCs w:val="20"/>
          <w:lang w:val="en-US" w:eastAsia="zh-CN"/>
        </w:rPr>
        <w:t>15</w:t>
      </w:r>
      <w:r>
        <w:rPr>
          <w:rFonts w:hint="default" w:ascii="Times New Roman" w:hAnsi="Times New Roman" w:eastAsia="宋体" w:cs="Times New Roman"/>
          <w:sz w:val="20"/>
          <w:szCs w:val="20"/>
          <w:lang w:val="en-US" w:eastAsia="zh-CN"/>
        </w:rPr>
        <w:t xml:space="preserve"> 痰湿体质高风险人群长度≥2的Top频繁项集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3048"/>
        <w:gridCol w:w="3590"/>
      </w:tblGrid>
      <w:tr w14:paraId="0A5C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single" w:color="000000" w:sz="12" w:space="0"/>
              <w:left w:val="nil"/>
              <w:bottom w:val="single" w:color="000000" w:sz="4" w:space="0"/>
              <w:right w:val="nil"/>
              <w:tl2br w:val="nil"/>
            </w:tcBorders>
            <w:shd w:val="clear" w:color="auto" w:fill="FFFFFF"/>
            <w:vAlign w:val="center"/>
          </w:tcPr>
          <w:p w14:paraId="0F798BEB">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支持度</w:t>
            </w:r>
          </w:p>
        </w:tc>
        <w:tc>
          <w:tcPr>
            <w:tcW w:w="3048" w:type="dxa"/>
            <w:tcBorders>
              <w:top w:val="single" w:color="000000" w:sz="12" w:space="0"/>
              <w:left w:val="nil"/>
              <w:bottom w:val="single" w:color="000000" w:sz="4" w:space="0"/>
              <w:right w:val="nil"/>
            </w:tcBorders>
            <w:shd w:val="clear" w:color="auto" w:fill="FFFFFF"/>
            <w:vAlign w:val="center"/>
          </w:tcPr>
          <w:p w14:paraId="0A81E0C8">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项集长度</w:t>
            </w:r>
          </w:p>
        </w:tc>
        <w:tc>
          <w:tcPr>
            <w:tcW w:w="3590" w:type="dxa"/>
            <w:tcBorders>
              <w:top w:val="single" w:color="000000" w:sz="12" w:space="0"/>
              <w:left w:val="nil"/>
              <w:bottom w:val="single" w:color="000000" w:sz="4" w:space="0"/>
              <w:right w:val="nil"/>
            </w:tcBorders>
            <w:shd w:val="clear" w:color="auto" w:fill="FFFFFF"/>
            <w:vAlign w:val="center"/>
          </w:tcPr>
          <w:p w14:paraId="1A593D9B">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频繁项集</w:t>
            </w:r>
          </w:p>
        </w:tc>
      </w:tr>
      <w:tr w14:paraId="2B94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648" w:type="dxa"/>
            <w:tcBorders>
              <w:top w:val="single" w:color="000000" w:sz="4" w:space="0"/>
              <w:left w:val="nil"/>
              <w:bottom w:val="nil"/>
              <w:right w:val="nil"/>
            </w:tcBorders>
            <w:shd w:val="clear" w:color="auto" w:fill="FFFFFF"/>
            <w:vAlign w:val="center"/>
          </w:tcPr>
          <w:p w14:paraId="4B7AFCF6">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0.360</w:t>
            </w:r>
          </w:p>
        </w:tc>
        <w:tc>
          <w:tcPr>
            <w:tcW w:w="3048" w:type="dxa"/>
            <w:tcBorders>
              <w:top w:val="single" w:color="000000" w:sz="4" w:space="0"/>
              <w:left w:val="nil"/>
              <w:bottom w:val="nil"/>
              <w:right w:val="nil"/>
            </w:tcBorders>
            <w:shd w:val="clear" w:color="auto" w:fill="FFFFFF"/>
            <w:vAlign w:val="center"/>
          </w:tcPr>
          <w:p w14:paraId="5796B82A">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single" w:color="000000" w:sz="4" w:space="0"/>
              <w:left w:val="nil"/>
              <w:bottom w:val="nil"/>
              <w:right w:val="nil"/>
            </w:tcBorders>
            <w:shd w:val="clear" w:color="auto" w:fill="FFFFFF"/>
            <w:vAlign w:val="center"/>
          </w:tcPr>
          <w:p w14:paraId="7DCD4D17">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老年 (≥60 岁)+ 高 TC (&gt;6.16)</w:t>
            </w:r>
          </w:p>
        </w:tc>
      </w:tr>
      <w:tr w14:paraId="05FB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nil"/>
              <w:right w:val="nil"/>
            </w:tcBorders>
            <w:shd w:val="clear" w:color="auto" w:fill="FFFFFF"/>
            <w:vAlign w:val="center"/>
          </w:tcPr>
          <w:p w14:paraId="13C001D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0.350</w:t>
            </w:r>
          </w:p>
        </w:tc>
        <w:tc>
          <w:tcPr>
            <w:tcW w:w="3048" w:type="dxa"/>
            <w:tcBorders>
              <w:top w:val="nil"/>
              <w:left w:val="nil"/>
              <w:bottom w:val="nil"/>
              <w:right w:val="nil"/>
            </w:tcBorders>
            <w:shd w:val="clear" w:color="auto" w:fill="FFFFFF"/>
            <w:vAlign w:val="center"/>
          </w:tcPr>
          <w:p w14:paraId="63150826">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0C6033A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有饮酒 + 高 TG (&gt;1.92)</w:t>
            </w:r>
          </w:p>
        </w:tc>
      </w:tr>
      <w:tr w14:paraId="1A2F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nil"/>
              <w:right w:val="nil"/>
            </w:tcBorders>
            <w:shd w:val="clear" w:color="auto" w:fill="FFFFFF"/>
            <w:vAlign w:val="center"/>
          </w:tcPr>
          <w:p w14:paraId="31E214AB">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0.340</w:t>
            </w:r>
          </w:p>
        </w:tc>
        <w:tc>
          <w:tcPr>
            <w:tcW w:w="3048" w:type="dxa"/>
            <w:tcBorders>
              <w:top w:val="nil"/>
              <w:left w:val="nil"/>
              <w:bottom w:val="nil"/>
              <w:right w:val="nil"/>
            </w:tcBorders>
            <w:shd w:val="clear" w:color="auto" w:fill="FFFFFF"/>
            <w:vAlign w:val="center"/>
          </w:tcPr>
          <w:p w14:paraId="7F4922BA">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6F45A2C3">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男性 + 高血尿酸(&gt;</w:t>
            </w:r>
            <w:r>
              <w:rPr>
                <w:rFonts w:hint="eastAsia" w:ascii="Times New Roman" w:hAnsi="Times New Roman" w:eastAsia="宋体" w:cs="Times New Roman"/>
                <w:b w:val="0"/>
                <w:color w:val="000000"/>
                <w:sz w:val="22"/>
                <w:szCs w:val="22"/>
                <w:lang w:val="en-US" w:eastAsia="zh-CN"/>
              </w:rPr>
              <w:t>383.50)</w:t>
            </w:r>
          </w:p>
        </w:tc>
      </w:tr>
      <w:tr w14:paraId="3D03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48" w:type="dxa"/>
            <w:tcBorders>
              <w:top w:val="nil"/>
              <w:left w:val="nil"/>
              <w:bottom w:val="nil"/>
              <w:right w:val="nil"/>
            </w:tcBorders>
            <w:shd w:val="clear" w:color="auto" w:fill="FFFFFF"/>
            <w:vAlign w:val="center"/>
          </w:tcPr>
          <w:p w14:paraId="1E616C5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0.335</w:t>
            </w:r>
          </w:p>
        </w:tc>
        <w:tc>
          <w:tcPr>
            <w:tcW w:w="3048" w:type="dxa"/>
            <w:tcBorders>
              <w:top w:val="nil"/>
              <w:left w:val="nil"/>
              <w:bottom w:val="nil"/>
              <w:right w:val="nil"/>
            </w:tcBorders>
            <w:shd w:val="clear" w:color="auto" w:fill="FFFFFF"/>
            <w:vAlign w:val="center"/>
          </w:tcPr>
          <w:p w14:paraId="4FE0383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0DCDD40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有饮酒 + 高血尿酸(&gt;383.50)</w:t>
            </w:r>
          </w:p>
        </w:tc>
      </w:tr>
      <w:tr w14:paraId="6178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nil"/>
              <w:right w:val="nil"/>
            </w:tcBorders>
            <w:shd w:val="clear" w:color="auto" w:fill="FFFFFF"/>
            <w:vAlign w:val="center"/>
          </w:tcPr>
          <w:p w14:paraId="32589FD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0.325</w:t>
            </w:r>
          </w:p>
        </w:tc>
        <w:tc>
          <w:tcPr>
            <w:tcW w:w="3048" w:type="dxa"/>
            <w:tcBorders>
              <w:top w:val="nil"/>
              <w:left w:val="nil"/>
              <w:bottom w:val="nil"/>
              <w:right w:val="nil"/>
            </w:tcBorders>
            <w:shd w:val="clear" w:color="auto" w:fill="FFFFFF"/>
            <w:vAlign w:val="center"/>
          </w:tcPr>
          <w:p w14:paraId="20D39B5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3AE9D3E4">
            <w:pPr>
              <w:jc w:val="both"/>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高T</w:t>
            </w:r>
            <w:r>
              <w:rPr>
                <w:rFonts w:hint="eastAsia" w:ascii="Times New Roman" w:hAnsi="Times New Roman" w:eastAsia="宋体" w:cs="Times New Roman"/>
                <w:b w:val="0"/>
                <w:color w:val="000000"/>
                <w:sz w:val="22"/>
                <w:szCs w:val="22"/>
                <w:lang w:val="en-US" w:eastAsia="zh-CN"/>
              </w:rPr>
              <w:t>G(&gt;1.92) +</w:t>
            </w:r>
            <w:r>
              <w:rPr>
                <w:rFonts w:hint="eastAsia"/>
              </w:rPr>
              <w:t xml:space="preserve"> </w:t>
            </w:r>
            <w:r>
              <w:rPr>
                <w:rFonts w:hint="eastAsia" w:ascii="Times New Roman" w:hAnsi="Times New Roman" w:eastAsia="宋体" w:cs="Times New Roman"/>
                <w:b w:val="0"/>
                <w:color w:val="000000"/>
                <w:sz w:val="22"/>
                <w:szCs w:val="22"/>
                <w:lang w:val="en-US" w:eastAsia="zh-CN"/>
              </w:rPr>
              <w:t>高血尿酸(&gt;383.50)</w:t>
            </w:r>
          </w:p>
        </w:tc>
      </w:tr>
      <w:tr w14:paraId="4891C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nil"/>
              <w:right w:val="nil"/>
            </w:tcBorders>
            <w:shd w:val="clear" w:color="auto" w:fill="FFFFFF"/>
            <w:vAlign w:val="center"/>
          </w:tcPr>
          <w:p w14:paraId="49010C1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0.320</w:t>
            </w:r>
          </w:p>
        </w:tc>
        <w:tc>
          <w:tcPr>
            <w:tcW w:w="3048" w:type="dxa"/>
            <w:tcBorders>
              <w:top w:val="nil"/>
              <w:left w:val="nil"/>
              <w:bottom w:val="nil"/>
              <w:right w:val="nil"/>
            </w:tcBorders>
            <w:shd w:val="clear" w:color="auto" w:fill="FFFFFF"/>
            <w:vAlign w:val="center"/>
          </w:tcPr>
          <w:p w14:paraId="4A996DB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562891E5">
            <w:pPr>
              <w:jc w:val="both"/>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高TC(&gt;6.16) +</w:t>
            </w:r>
            <w:r>
              <w:rPr>
                <w:rFonts w:hint="eastAsia"/>
              </w:rPr>
              <w:t xml:space="preserve"> </w:t>
            </w:r>
            <w:r>
              <w:rPr>
                <w:rFonts w:hint="eastAsia" w:ascii="Times New Roman" w:hAnsi="Times New Roman" w:eastAsia="宋体" w:cs="Times New Roman"/>
                <w:b w:val="0"/>
                <w:color w:val="000000"/>
                <w:sz w:val="22"/>
                <w:szCs w:val="22"/>
                <w:lang w:val="en-US" w:eastAsia="zh-CN"/>
              </w:rPr>
              <w:t>高血尿酸(&gt;383.50)</w:t>
            </w:r>
          </w:p>
        </w:tc>
      </w:tr>
      <w:tr w14:paraId="08E3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nil"/>
              <w:right w:val="nil"/>
            </w:tcBorders>
            <w:shd w:val="clear" w:color="auto" w:fill="FFFFFF"/>
            <w:vAlign w:val="center"/>
          </w:tcPr>
          <w:p w14:paraId="358E2B89">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0.315</w:t>
            </w:r>
          </w:p>
        </w:tc>
        <w:tc>
          <w:tcPr>
            <w:tcW w:w="3048" w:type="dxa"/>
            <w:tcBorders>
              <w:top w:val="nil"/>
              <w:left w:val="nil"/>
              <w:bottom w:val="nil"/>
              <w:right w:val="nil"/>
            </w:tcBorders>
            <w:shd w:val="clear" w:color="auto" w:fill="FFFFFF"/>
            <w:vAlign w:val="center"/>
          </w:tcPr>
          <w:p w14:paraId="0795658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273A8D1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有饮酒 + 老年(</w:t>
            </w:r>
            <w:r>
              <w:rPr>
                <w:rFonts w:hint="eastAsia"/>
              </w:rPr>
              <w:t>≥</w:t>
            </w:r>
            <w:r>
              <w:rPr>
                <w:rFonts w:hint="eastAsia" w:ascii="Times New Roman" w:hAnsi="Times New Roman" w:eastAsia="宋体" w:cs="Times New Roman"/>
                <w:b w:val="0"/>
                <w:color w:val="000000"/>
                <w:sz w:val="22"/>
                <w:szCs w:val="22"/>
                <w:lang w:val="en-US" w:eastAsia="zh-CN"/>
              </w:rPr>
              <w:t>60</w:t>
            </w:r>
            <w:r>
              <w:rPr>
                <w:rFonts w:hint="eastAsia"/>
              </w:rPr>
              <w:t>岁</w:t>
            </w:r>
            <w:r>
              <w:rPr>
                <w:rFonts w:hint="eastAsia" w:ascii="Times New Roman" w:hAnsi="Times New Roman" w:eastAsia="宋体" w:cs="Times New Roman"/>
                <w:b w:val="0"/>
                <w:color w:val="000000"/>
                <w:sz w:val="22"/>
                <w:szCs w:val="22"/>
                <w:lang w:val="en-US" w:eastAsia="zh-CN"/>
              </w:rPr>
              <w:t>)</w:t>
            </w:r>
          </w:p>
        </w:tc>
      </w:tr>
      <w:tr w14:paraId="7447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Borders>
              <w:top w:val="nil"/>
              <w:left w:val="nil"/>
              <w:bottom w:val="single" w:color="000000" w:sz="12" w:space="0"/>
              <w:right w:val="nil"/>
            </w:tcBorders>
            <w:shd w:val="clear" w:color="auto" w:fill="FFFFFF"/>
            <w:vAlign w:val="center"/>
          </w:tcPr>
          <w:p w14:paraId="58EC04B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0.315</w:t>
            </w:r>
          </w:p>
        </w:tc>
        <w:tc>
          <w:tcPr>
            <w:tcW w:w="3048" w:type="dxa"/>
            <w:tcBorders>
              <w:top w:val="nil"/>
              <w:left w:val="nil"/>
              <w:bottom w:val="single" w:color="000000" w:sz="12" w:space="0"/>
              <w:right w:val="nil"/>
            </w:tcBorders>
            <w:shd w:val="clear" w:color="auto" w:fill="FFFFFF"/>
            <w:vAlign w:val="center"/>
          </w:tcPr>
          <w:p w14:paraId="77F57F5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single" w:color="000000" w:sz="12" w:space="0"/>
              <w:right w:val="nil"/>
            </w:tcBorders>
            <w:shd w:val="clear" w:color="auto" w:fill="FFFFFF"/>
            <w:vAlign w:val="center"/>
          </w:tcPr>
          <w:p w14:paraId="2707A53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低IADL + 高TC(&gt;6.16)</w:t>
            </w:r>
          </w:p>
        </w:tc>
      </w:tr>
    </w:tbl>
    <w:p w14:paraId="754F4617">
      <w:pPr>
        <w:jc w:val="both"/>
        <w:rPr>
          <w:rFonts w:hint="eastAsia" w:ascii="Times New Roman" w:hAnsi="Times New Roman" w:eastAsia="宋体" w:cs="Times New Roman"/>
          <w:sz w:val="22"/>
          <w:szCs w:val="22"/>
          <w:lang w:eastAsia="zh-CN"/>
        </w:rPr>
      </w:pPr>
    </w:p>
    <w:p w14:paraId="659BDA9C">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7545" cy="3269615"/>
            <wp:effectExtent l="0" t="0" r="8255" b="6985"/>
            <wp:docPr id="16" name="图片 16" descr="C:/Users/Kandao/Desktop/bisai/MathorCup_2026_C_Project/output/q2_2/top_frequent_itemsets.pngtop_frequent_item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Kandao/Desktop/bisai/MathorCup_2026_C_Project/output/q2_2/top_frequent_itemsets.pngtop_frequent_itemsets"/>
                    <pic:cNvPicPr>
                      <a:picLocks noChangeAspect="1"/>
                    </pic:cNvPicPr>
                  </pic:nvPicPr>
                  <pic:blipFill>
                    <a:blip r:embed="rId21"/>
                    <a:srcRect l="10" r="10"/>
                    <a:stretch>
                      <a:fillRect/>
                    </a:stretch>
                  </pic:blipFill>
                  <pic:spPr>
                    <a:xfrm>
                      <a:off x="0" y="0"/>
                      <a:ext cx="5757545" cy="3269615"/>
                    </a:xfrm>
                    <a:prstGeom prst="rect">
                      <a:avLst/>
                    </a:prstGeom>
                  </pic:spPr>
                </pic:pic>
              </a:graphicData>
            </a:graphic>
          </wp:inline>
        </w:drawing>
      </w:r>
    </w:p>
    <w:p w14:paraId="682D1649">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图15 痰湿体质高风险组高频特征组合Top15条形图</w:t>
      </w:r>
    </w:p>
    <w:p w14:paraId="57E3EA8F">
      <w:pPr>
        <w:jc w:val="both"/>
        <w:rPr>
          <w:rFonts w:hint="eastAsia" w:ascii="Times New Roman" w:hAnsi="Times New Roman" w:eastAsia="宋体" w:cs="Times New Roman"/>
          <w:sz w:val="22"/>
          <w:szCs w:val="22"/>
          <w:lang w:eastAsia="zh-CN"/>
        </w:rPr>
      </w:pPr>
    </w:p>
    <w:p w14:paraId="4947BC6A">
      <w:pPr>
        <w:jc w:val="both"/>
        <w:outlineLvl w:val="2"/>
        <w:rPr>
          <w:rFonts w:hint="eastAsia" w:ascii="Times New Roman" w:hAnsi="Times New Roman" w:eastAsia="宋体" w:cs="Times New Roman"/>
          <w:sz w:val="22"/>
          <w:szCs w:val="22"/>
          <w:lang w:eastAsia="zh-CN"/>
        </w:rPr>
      </w:pPr>
      <w:bookmarkStart w:id="83" w:name="_Toc2676"/>
      <w:bookmarkStart w:id="84" w:name="_Toc2135"/>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7</w:t>
      </w:r>
      <w:r>
        <w:rPr>
          <w:rFonts w:hint="eastAsia" w:ascii="Times New Roman" w:hAnsi="Times New Roman" w:eastAsia="宋体" w:cs="Times New Roman"/>
          <w:sz w:val="22"/>
          <w:szCs w:val="22"/>
          <w:lang w:eastAsia="zh-CN"/>
        </w:rPr>
        <w:t xml:space="preserve"> 关联规则分布与核心组合识别</w:t>
      </w:r>
      <w:bookmarkEnd w:id="83"/>
      <w:bookmarkEnd w:id="84"/>
    </w:p>
    <w:p w14:paraId="442AC569">
      <w:pPr>
        <w:jc w:val="both"/>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关联规则分布分析</w:t>
      </w:r>
    </w:p>
    <w:p w14:paraId="0D03539E">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绘制关联规则支持度-置信度散点图，点的颜色代表Lift值（衡量特征组合对高风险的区分力）。</w:t>
      </w:r>
    </w:p>
    <w:p w14:paraId="19151150">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376545" cy="3781425"/>
            <wp:effectExtent l="0" t="0" r="8255" b="3175"/>
            <wp:docPr id="17" name="图片 17" descr="C:/Users/Kandao/Desktop/bisai/MathorCup_2026_C_Project/output/q2_2/association_rules_scatter.pngassociation_rules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Kandao/Desktop/bisai/MathorCup_2026_C_Project/output/q2_2/association_rules_scatter.pngassociation_rules_scatter"/>
                    <pic:cNvPicPr>
                      <a:picLocks noChangeAspect="1"/>
                    </pic:cNvPicPr>
                  </pic:nvPicPr>
                  <pic:blipFill>
                    <a:blip r:embed="rId22"/>
                    <a:srcRect t="6" b="6"/>
                    <a:stretch>
                      <a:fillRect/>
                    </a:stretch>
                  </pic:blipFill>
                  <pic:spPr>
                    <a:xfrm>
                      <a:off x="0" y="0"/>
                      <a:ext cx="5376545" cy="3781425"/>
                    </a:xfrm>
                    <a:prstGeom prst="rect">
                      <a:avLst/>
                    </a:prstGeom>
                  </pic:spPr>
                </pic:pic>
              </a:graphicData>
            </a:graphic>
          </wp:inline>
        </w:drawing>
      </w:r>
    </w:p>
    <w:p w14:paraId="0E8C227B">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图16 痰湿体质高风险组关联规则分布散点图</w:t>
      </w:r>
    </w:p>
    <w:p w14:paraId="1222F79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w:t>
      </w:r>
    </w:p>
    <w:p w14:paraId="5B72D898">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规则集中分布在支持度0.30~0.37、置信度0.52~0.67区间，说明规则稳定可靠；</w:t>
      </w:r>
    </w:p>
    <w:p w14:paraId="693934F0">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Lift值大于1的规则占绝大多数，其中高Lift规则主要集中在“低ADL→高TC</w:t>
      </w:r>
      <w:r>
        <w:rPr>
          <w:rFonts w:hint="eastAsia" w:cs="Times New Roman"/>
          <w:sz w:val="22"/>
          <w:szCs w:val="22"/>
          <w:lang w:eastAsia="zh-CN"/>
        </w:rPr>
        <w:t>”</w:t>
      </w:r>
      <w:r>
        <w:rPr>
          <w:rFonts w:hint="eastAsia" w:ascii="Times New Roman" w:hAnsi="Times New Roman" w:eastAsia="宋体" w:cs="Times New Roman"/>
          <w:sz w:val="22"/>
          <w:szCs w:val="22"/>
          <w:lang w:eastAsia="zh-CN"/>
        </w:rPr>
        <w:t>“男性→高血尿酸”等组合，对高风险人群具有较强区分力。</w:t>
      </w:r>
    </w:p>
    <w:p w14:paraId="218DEA92">
      <w:pPr>
        <w:jc w:val="both"/>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核心特征组合对比Lift排名</w:t>
      </w:r>
    </w:p>
    <w:p w14:paraId="3DAE990C">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为筛选最具区分力的核心组合，绘制高风险组与非高风险组支持度比（对比Lift）的条形图。</w:t>
      </w:r>
    </w:p>
    <w:p w14:paraId="2ECB3DEB">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2465" cy="3274060"/>
            <wp:effectExtent l="0" t="0" r="635" b="2540"/>
            <wp:docPr id="18" name="图片 18" descr="C:/Users/Kandao/Desktop/bisai/MathorCup_2026_C_Project/output/q2_2/combo_lift_comparison.pngcombo_lif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Kandao/Desktop/bisai/MathorCup_2026_C_Project/output/q2_2/combo_lift_comparison.pngcombo_lift_comparison"/>
                    <pic:cNvPicPr>
                      <a:picLocks noChangeAspect="1"/>
                    </pic:cNvPicPr>
                  </pic:nvPicPr>
                  <pic:blipFill>
                    <a:blip r:embed="rId23"/>
                    <a:srcRect t="6" b="6"/>
                    <a:stretch>
                      <a:fillRect/>
                    </a:stretch>
                  </pic:blipFill>
                  <pic:spPr>
                    <a:xfrm>
                      <a:off x="0" y="0"/>
                      <a:ext cx="5752465" cy="3274060"/>
                    </a:xfrm>
                    <a:prstGeom prst="rect">
                      <a:avLst/>
                    </a:prstGeom>
                  </pic:spPr>
                </pic:pic>
              </a:graphicData>
            </a:graphic>
          </wp:inline>
        </w:drawing>
      </w:r>
    </w:p>
    <w:p w14:paraId="5B0C4898">
      <w:pPr>
        <w:ind w:firstLine="40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图17 核心特征组合对比 Lift 排名图</w:t>
      </w:r>
    </w:p>
    <w:p w14:paraId="6C5E91D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综合支持度与对比 Lift，得到2组核心高危特征组合：</w:t>
      </w:r>
    </w:p>
    <w:p w14:paraId="57945ED9">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ascii="Times New Roman" w:hAnsi="Times New Roman" w:eastAsia="宋体" w:cs="Times New Roman"/>
          <w:sz w:val="20"/>
          <w:szCs w:val="20"/>
          <w:lang w:val="en-US" w:eastAsia="zh-CN"/>
        </w:rPr>
        <w:t>16</w:t>
      </w:r>
      <w:r>
        <w:rPr>
          <w:rFonts w:hint="eastAsia" w:ascii="Times New Roman" w:hAnsi="Times New Roman" w:eastAsia="宋体" w:cs="Times New Roman"/>
          <w:sz w:val="20"/>
          <w:szCs w:val="20"/>
          <w:lang w:eastAsia="zh-CN"/>
        </w:rPr>
        <w:t xml:space="preserve"> 痰湿体质高风险核心特征组合排名</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3632"/>
        <w:gridCol w:w="1296"/>
        <w:gridCol w:w="1576"/>
        <w:gridCol w:w="1606"/>
      </w:tblGrid>
      <w:tr w14:paraId="2654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single" w:color="000000" w:sz="12" w:space="0"/>
              <w:left w:val="nil"/>
              <w:bottom w:val="single" w:color="000000" w:sz="4" w:space="0"/>
              <w:right w:val="nil"/>
              <w:tl2br w:val="nil"/>
            </w:tcBorders>
            <w:shd w:val="clear" w:color="auto" w:fill="FFFFFF"/>
            <w:vAlign w:val="center"/>
          </w:tcPr>
          <w:p w14:paraId="7631B86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排名</w:t>
            </w:r>
          </w:p>
        </w:tc>
        <w:tc>
          <w:tcPr>
            <w:tcW w:w="3632" w:type="dxa"/>
            <w:tcBorders>
              <w:top w:val="single" w:color="000000" w:sz="12" w:space="0"/>
              <w:left w:val="nil"/>
              <w:bottom w:val="single" w:color="000000" w:sz="4" w:space="0"/>
              <w:right w:val="nil"/>
            </w:tcBorders>
            <w:shd w:val="clear" w:color="auto" w:fill="FFFFFF"/>
            <w:vAlign w:val="center"/>
          </w:tcPr>
          <w:p w14:paraId="77DC9C7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特征组合</w:t>
            </w:r>
          </w:p>
        </w:tc>
        <w:tc>
          <w:tcPr>
            <w:tcW w:w="1296" w:type="dxa"/>
            <w:tcBorders>
              <w:top w:val="single" w:color="000000" w:sz="12" w:space="0"/>
              <w:left w:val="nil"/>
              <w:bottom w:val="single" w:color="000000" w:sz="4" w:space="0"/>
              <w:right w:val="nil"/>
            </w:tcBorders>
            <w:shd w:val="clear" w:color="auto" w:fill="FFFFFF"/>
            <w:vAlign w:val="center"/>
          </w:tcPr>
          <w:p w14:paraId="10505AD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支持度</w:t>
            </w:r>
          </w:p>
        </w:tc>
        <w:tc>
          <w:tcPr>
            <w:tcW w:w="1576" w:type="dxa"/>
            <w:tcBorders>
              <w:top w:val="single" w:color="000000" w:sz="12" w:space="0"/>
              <w:left w:val="nil"/>
              <w:bottom w:val="single" w:color="000000" w:sz="4" w:space="0"/>
              <w:right w:val="nil"/>
            </w:tcBorders>
            <w:shd w:val="clear" w:color="auto" w:fill="FFFFFF"/>
            <w:vAlign w:val="center"/>
          </w:tcPr>
          <w:p w14:paraId="6589D89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对比Lift</w:t>
            </w:r>
          </w:p>
        </w:tc>
        <w:tc>
          <w:tcPr>
            <w:tcW w:w="1606" w:type="dxa"/>
            <w:tcBorders>
              <w:top w:val="single" w:color="000000" w:sz="12" w:space="0"/>
              <w:left w:val="nil"/>
              <w:bottom w:val="single" w:color="000000" w:sz="4" w:space="0"/>
              <w:right w:val="nil"/>
            </w:tcBorders>
            <w:shd w:val="clear" w:color="auto" w:fill="FFFFFF"/>
            <w:vAlign w:val="center"/>
          </w:tcPr>
          <w:p w14:paraId="3B11A92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综合得分</w:t>
            </w:r>
          </w:p>
        </w:tc>
      </w:tr>
      <w:tr w14:paraId="7105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single" w:color="000000" w:sz="4" w:space="0"/>
              <w:left w:val="nil"/>
              <w:bottom w:val="nil"/>
              <w:right w:val="nil"/>
            </w:tcBorders>
            <w:shd w:val="clear" w:color="auto" w:fill="FFFFFF"/>
            <w:vAlign w:val="center"/>
          </w:tcPr>
          <w:p w14:paraId="3280400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w:t>
            </w:r>
          </w:p>
        </w:tc>
        <w:tc>
          <w:tcPr>
            <w:tcW w:w="3632" w:type="dxa"/>
            <w:tcBorders>
              <w:top w:val="single" w:color="000000" w:sz="4" w:space="0"/>
              <w:left w:val="nil"/>
              <w:bottom w:val="nil"/>
              <w:right w:val="nil"/>
            </w:tcBorders>
            <w:shd w:val="clear" w:color="auto" w:fill="FFFFFF"/>
            <w:vAlign w:val="center"/>
          </w:tcPr>
          <w:p w14:paraId="2D27A6B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有饮酒+高TG (</w:t>
            </w:r>
            <m:oMath>
              <m:r>
                <m:rPr>
                  <m:sty m:val="p"/>
                </m:rPr>
                <w:rPr>
                  <w:rFonts w:hint="eastAsia" w:ascii="Cambria Math" w:hAnsi="Cambria Math" w:eastAsia="宋体" w:cs="宋体"/>
                  <w:color w:val="000000"/>
                  <w:kern w:val="0"/>
                  <w:sz w:val="22"/>
                  <w:szCs w:val="22"/>
                  <w:u w:val="none"/>
                  <w:lang w:val="en-US" w:eastAsia="zh-CN" w:bidi="ar"/>
                </w:rPr>
                <m:t>&gt;1.92</m:t>
              </m:r>
            </m:oMath>
            <w:r>
              <w:rPr>
                <w:rFonts w:hint="eastAsia" w:ascii="宋体" w:hAnsi="宋体" w:eastAsia="宋体" w:cs="宋体"/>
                <w:b w:val="0"/>
                <w:i w:val="0"/>
                <w:iCs w:val="0"/>
                <w:color w:val="000000"/>
                <w:kern w:val="0"/>
                <w:sz w:val="22"/>
                <w:szCs w:val="22"/>
                <w:u w:val="none"/>
                <w:lang w:val="en-US" w:eastAsia="zh-CN" w:bidi="ar"/>
              </w:rPr>
              <w:t>)</w:t>
            </w:r>
          </w:p>
        </w:tc>
        <w:tc>
          <w:tcPr>
            <w:tcW w:w="1296" w:type="dxa"/>
            <w:tcBorders>
              <w:top w:val="single" w:color="000000" w:sz="4" w:space="0"/>
              <w:left w:val="nil"/>
              <w:bottom w:val="nil"/>
              <w:right w:val="nil"/>
            </w:tcBorders>
            <w:shd w:val="clear" w:color="auto" w:fill="FFFFFF"/>
            <w:vAlign w:val="center"/>
          </w:tcPr>
          <w:p w14:paraId="3358E46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0.350</w:t>
            </w:r>
          </w:p>
        </w:tc>
        <w:tc>
          <w:tcPr>
            <w:tcW w:w="1576" w:type="dxa"/>
            <w:tcBorders>
              <w:top w:val="single" w:color="000000" w:sz="4" w:space="0"/>
              <w:left w:val="nil"/>
              <w:bottom w:val="nil"/>
              <w:right w:val="nil"/>
            </w:tcBorders>
            <w:shd w:val="clear" w:color="auto" w:fill="FFFFFF"/>
            <w:vAlign w:val="center"/>
          </w:tcPr>
          <w:p w14:paraId="00448FD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27.30</w:t>
            </w:r>
          </w:p>
        </w:tc>
        <w:tc>
          <w:tcPr>
            <w:tcW w:w="1606" w:type="dxa"/>
            <w:tcBorders>
              <w:top w:val="single" w:color="000000" w:sz="4" w:space="0"/>
              <w:left w:val="nil"/>
              <w:bottom w:val="nil"/>
              <w:right w:val="nil"/>
            </w:tcBorders>
            <w:shd w:val="clear" w:color="auto" w:fill="FFFFFF"/>
            <w:vAlign w:val="center"/>
          </w:tcPr>
          <w:p w14:paraId="7FE5887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0.5898</w:t>
            </w:r>
          </w:p>
        </w:tc>
      </w:tr>
      <w:tr w14:paraId="6ACD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single" w:color="000000" w:sz="12" w:space="0"/>
              <w:right w:val="nil"/>
            </w:tcBorders>
            <w:shd w:val="clear" w:color="auto" w:fill="FFFFFF"/>
            <w:vAlign w:val="center"/>
          </w:tcPr>
          <w:p w14:paraId="3EC13B27">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3632" w:type="dxa"/>
            <w:tcBorders>
              <w:top w:val="nil"/>
              <w:left w:val="nil"/>
              <w:bottom w:val="single" w:color="000000" w:sz="12" w:space="0"/>
              <w:right w:val="nil"/>
            </w:tcBorders>
            <w:shd w:val="clear" w:color="auto" w:fill="FFFFFF"/>
            <w:vAlign w:val="center"/>
          </w:tcPr>
          <w:p w14:paraId="6C6148F9">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老年 (≥60岁) + 高TC (</w:t>
            </w:r>
            <m:oMath>
              <m:r>
                <m:rPr>
                  <m:sty m:val="p"/>
                </m:rPr>
                <w:rPr>
                  <w:rFonts w:hint="eastAsia" w:ascii="Cambria Math" w:hAnsi="Cambria Math" w:eastAsia="宋体" w:cs="宋体"/>
                  <w:color w:val="000000"/>
                  <w:kern w:val="0"/>
                  <w:sz w:val="22"/>
                  <w:szCs w:val="22"/>
                  <w:u w:val="none"/>
                  <w:lang w:val="en-US" w:eastAsia="zh-CN" w:bidi="ar"/>
                </w:rPr>
                <m:t>&gt;6.16</m:t>
              </m:r>
            </m:oMath>
            <w:r>
              <w:rPr>
                <w:rFonts w:hint="eastAsia" w:ascii="宋体" w:hAnsi="宋体" w:eastAsia="宋体" w:cs="宋体"/>
                <w:b w:val="0"/>
                <w:i w:val="0"/>
                <w:iCs w:val="0"/>
                <w:color w:val="000000"/>
                <w:kern w:val="0"/>
                <w:sz w:val="22"/>
                <w:szCs w:val="22"/>
                <w:u w:val="none"/>
                <w:lang w:val="en-US" w:eastAsia="zh-CN" w:bidi="ar"/>
              </w:rPr>
              <w:t>)</w:t>
            </w:r>
          </w:p>
        </w:tc>
        <w:tc>
          <w:tcPr>
            <w:tcW w:w="1296" w:type="dxa"/>
            <w:tcBorders>
              <w:top w:val="nil"/>
              <w:left w:val="nil"/>
              <w:bottom w:val="single" w:color="000000" w:sz="12" w:space="0"/>
              <w:right w:val="nil"/>
            </w:tcBorders>
            <w:shd w:val="clear" w:color="auto" w:fill="FFFFFF"/>
            <w:vAlign w:val="center"/>
          </w:tcPr>
          <w:p w14:paraId="5F1329F4">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0.360</w:t>
            </w:r>
          </w:p>
        </w:tc>
        <w:tc>
          <w:tcPr>
            <w:tcW w:w="1576" w:type="dxa"/>
            <w:tcBorders>
              <w:top w:val="nil"/>
              <w:left w:val="nil"/>
              <w:bottom w:val="single" w:color="000000" w:sz="12" w:space="0"/>
              <w:right w:val="nil"/>
            </w:tcBorders>
            <w:shd w:val="clear" w:color="auto" w:fill="FFFFFF"/>
            <w:vAlign w:val="center"/>
          </w:tcPr>
          <w:p w14:paraId="69CC30F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5.62</w:t>
            </w:r>
          </w:p>
        </w:tc>
        <w:tc>
          <w:tcPr>
            <w:tcW w:w="1606" w:type="dxa"/>
            <w:tcBorders>
              <w:top w:val="nil"/>
              <w:left w:val="nil"/>
              <w:bottom w:val="single" w:color="000000" w:sz="12" w:space="0"/>
              <w:right w:val="nil"/>
            </w:tcBorders>
            <w:shd w:val="clear" w:color="auto" w:fill="FFFFFF"/>
            <w:vAlign w:val="center"/>
          </w:tcPr>
          <w:p w14:paraId="751AE3B2">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0.3557</w:t>
            </w:r>
          </w:p>
        </w:tc>
      </w:tr>
    </w:tbl>
    <w:p w14:paraId="254D330B">
      <w:pPr>
        <w:jc w:val="both"/>
        <w:outlineLvl w:val="2"/>
        <w:rPr>
          <w:rFonts w:hint="eastAsia" w:ascii="Times New Roman" w:hAnsi="Times New Roman" w:eastAsia="宋体" w:cs="Times New Roman"/>
          <w:sz w:val="22"/>
          <w:szCs w:val="22"/>
          <w:lang w:eastAsia="zh-CN"/>
        </w:rPr>
      </w:pPr>
      <w:bookmarkStart w:id="85" w:name="_Toc10488"/>
      <w:bookmarkStart w:id="86" w:name="_Toc14649"/>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8</w:t>
      </w:r>
      <w:r>
        <w:rPr>
          <w:rFonts w:hint="eastAsia" w:ascii="Times New Roman" w:hAnsi="Times New Roman" w:eastAsia="宋体" w:cs="Times New Roman"/>
          <w:sz w:val="22"/>
          <w:szCs w:val="22"/>
          <w:lang w:eastAsia="zh-CN"/>
        </w:rPr>
        <w:t xml:space="preserve"> 核心特征组合中西医机制解释</w:t>
      </w:r>
      <w:bookmarkEnd w:id="85"/>
      <w:bookmarkEnd w:id="86"/>
    </w:p>
    <w:p w14:paraId="207F72BB">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组合 1：有饮酒+高 TG (</w:t>
      </w:r>
      <m:oMath>
        <m:r>
          <m:rPr>
            <m:sty m:val="p"/>
          </m:rPr>
          <w:rPr>
            <w:rFonts w:hint="eastAsia" w:ascii="Cambria Math" w:hAnsi="Cambria Math" w:eastAsia="宋体" w:cs="Times New Roman"/>
            <w:kern w:val="2"/>
            <w:sz w:val="22"/>
            <w:szCs w:val="22"/>
            <w:lang w:val="en-US" w:eastAsia="zh-CN" w:bidi="ar-SA"/>
          </w:rPr>
          <m:t>&gt;1.92</m:t>
        </m:r>
      </m:oMath>
      <w:r>
        <w:rPr>
          <w:rFonts w:hint="eastAsia" w:ascii="Times New Roman" w:hAnsi="Times New Roman" w:eastAsia="宋体" w:cs="Times New Roman"/>
          <w:sz w:val="22"/>
          <w:szCs w:val="22"/>
          <w:lang w:eastAsia="zh-CN"/>
        </w:rPr>
        <w:t>)</w:t>
      </w:r>
    </w:p>
    <w:p w14:paraId="5A5A426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西医机制：酒精促进肝脏VLDL合成，直接升高甘油三酯，加重脂代谢紊乱；</w:t>
      </w:r>
    </w:p>
    <w:p w14:paraId="28DC0583">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中医机制：酒为湿热之品，易助湿生痰，与痰湿体质叠加，加剧痰湿内蕴；</w:t>
      </w:r>
    </w:p>
    <w:p w14:paraId="7509EB8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综合通路：饮酒→脂合成亢进→痰湿内停→TG升高→高血脂高风险。</w:t>
      </w:r>
    </w:p>
    <w:p w14:paraId="68A5B77E">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组合 2：老年 (</w:t>
      </w:r>
      <m:oMath>
        <m:r>
          <m:rPr>
            <m:sty m:val="p"/>
          </m:rPr>
          <w:rPr>
            <w:rFonts w:hint="eastAsia" w:ascii="Cambria Math" w:hAnsi="Cambria Math" w:eastAsia="宋体" w:cs="Times New Roman"/>
            <w:kern w:val="2"/>
            <w:sz w:val="22"/>
            <w:szCs w:val="22"/>
            <w:lang w:val="en-US" w:eastAsia="zh-CN" w:bidi="ar-SA"/>
          </w:rPr>
          <m:t>≥60 岁</m:t>
        </m:r>
      </m:oMath>
      <w:r>
        <w:rPr>
          <w:rFonts w:hint="eastAsia" w:ascii="Times New Roman" w:hAnsi="Times New Roman" w:eastAsia="宋体" w:cs="Times New Roman"/>
          <w:sz w:val="22"/>
          <w:szCs w:val="22"/>
          <w:lang w:eastAsia="zh-CN"/>
        </w:rPr>
        <w:t>) + 高 TC (</w:t>
      </w:r>
      <m:oMath>
        <m:r>
          <m:rPr>
            <m:sty m:val="p"/>
          </m:rPr>
          <w:rPr>
            <w:rFonts w:hint="eastAsia" w:ascii="Cambria Math" w:hAnsi="Cambria Math" w:eastAsia="宋体" w:cs="Times New Roman"/>
            <w:kern w:val="2"/>
            <w:sz w:val="22"/>
            <w:szCs w:val="22"/>
            <w:lang w:val="en-US" w:eastAsia="zh-CN" w:bidi="ar-SA"/>
          </w:rPr>
          <m:t>&gt;6.16</m:t>
        </m:r>
      </m:oMath>
      <w:bookmarkStart w:id="154" w:name="_GoBack"/>
      <w:bookmarkEnd w:id="154"/>
      <w:r>
        <w:rPr>
          <w:rFonts w:hint="eastAsia" w:ascii="Times New Roman" w:hAnsi="Times New Roman" w:eastAsia="宋体" w:cs="Times New Roman"/>
          <w:sz w:val="22"/>
          <w:szCs w:val="22"/>
          <w:lang w:eastAsia="zh-CN"/>
        </w:rPr>
        <w:t>)</w:t>
      </w:r>
    </w:p>
    <w:p w14:paraId="45D6FFC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西医机制：衰老导致脂质代谢能力下降，胆固醇清除减慢、体内蓄积；</w:t>
      </w:r>
    </w:p>
    <w:p w14:paraId="215E2EC0">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中医机制：老年脾胃运化衰退，水湿不化、膏脂积聚，痰湿与高脂并存；</w:t>
      </w:r>
    </w:p>
    <w:p w14:paraId="6A34FFC4">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综合通路：脏腑衰退+痰湿体质→脂代谢失常→TC升高→高血脂高风险。</w:t>
      </w:r>
    </w:p>
    <w:p w14:paraId="67F6C611">
      <w:pPr>
        <w:jc w:val="both"/>
        <w:outlineLvl w:val="2"/>
        <w:rPr>
          <w:rFonts w:hint="eastAsia" w:ascii="Times New Roman" w:hAnsi="Times New Roman" w:eastAsia="宋体" w:cs="Times New Roman"/>
          <w:sz w:val="22"/>
          <w:szCs w:val="22"/>
          <w:lang w:eastAsia="zh-CN"/>
        </w:rPr>
      </w:pPr>
      <w:bookmarkStart w:id="87" w:name="_Toc7337"/>
      <w:bookmarkStart w:id="88" w:name="_Toc11227"/>
      <w:r>
        <w:rPr>
          <w:rFonts w:hint="eastAsia" w:ascii="Times New Roman" w:hAnsi="Times New Roman" w:eastAsia="宋体" w:cs="Times New Roman"/>
          <w:sz w:val="22"/>
          <w:szCs w:val="22"/>
          <w:lang w:eastAsia="zh-CN"/>
        </w:rPr>
        <w:t>6.</w:t>
      </w:r>
      <w:r>
        <w:rPr>
          <w:rFonts w:hint="eastAsia" w:cs="Times New Roman"/>
          <w:sz w:val="22"/>
          <w:szCs w:val="22"/>
          <w:lang w:val="en-US" w:eastAsia="zh-CN"/>
        </w:rPr>
        <w:t>2.9</w:t>
      </w:r>
      <w:r>
        <w:rPr>
          <w:rFonts w:hint="eastAsia" w:ascii="Times New Roman" w:hAnsi="Times New Roman" w:eastAsia="宋体" w:cs="Times New Roman"/>
          <w:sz w:val="22"/>
          <w:szCs w:val="22"/>
          <w:lang w:eastAsia="zh-CN"/>
        </w:rPr>
        <w:t xml:space="preserve"> 子任务二结论</w:t>
      </w:r>
      <w:bookmarkEnd w:id="87"/>
      <w:bookmarkEnd w:id="88"/>
    </w:p>
    <w:p w14:paraId="22B03CC0">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痰湿体质人群高血脂高风险占比71.9%，是高血脂症的核心高危体质；</w:t>
      </w:r>
    </w:p>
    <w:p w14:paraId="322EE49B">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高TG、高TC、高血尿酸是区分痰湿体质高/非高风险的三大核心生化指标；</w:t>
      </w:r>
    </w:p>
    <w:p w14:paraId="5D5919F5">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共现热力图与Apriori分析显示，高风险人群中代谢指标与不良生活方式存在明显聚集效应；</w:t>
      </w:r>
    </w:p>
    <w:p w14:paraId="041C494F">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挖掘得到两组可直接用于临床筛查的核心组合：饮酒+高TG、老年+高TC；</w:t>
      </w:r>
    </w:p>
    <w:p w14:paraId="0BFA0B3D">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组合特征符合中西医病理机制，为痰湿体质人群的个性化干预提供精准靶点。</w:t>
      </w:r>
    </w:p>
    <w:p w14:paraId="678C2E9D">
      <w:pPr>
        <w:numPr>
          <w:ilvl w:val="0"/>
          <w:numId w:val="0"/>
        </w:numPr>
        <w:ind w:left="0" w:leftChars="0" w:firstLine="0" w:firstLineChars="0"/>
        <w:jc w:val="center"/>
        <w:rPr>
          <w:rFonts w:hint="eastAsia" w:ascii="Times New Roman" w:hAnsi="Times New Roman" w:eastAsia="宋体" w:cs="Times New Roman"/>
          <w:b/>
          <w:bCs/>
          <w:sz w:val="24"/>
          <w:szCs w:val="24"/>
          <w:lang w:val="en-US" w:eastAsia="zh-CN"/>
        </w:rPr>
      </w:pPr>
    </w:p>
    <w:p w14:paraId="5B6790B0">
      <w:pPr>
        <w:numPr>
          <w:ilvl w:val="0"/>
          <w:numId w:val="0"/>
        </w:numPr>
        <w:ind w:left="0" w:leftChars="0" w:firstLine="0" w:firstLineChars="0"/>
        <w:jc w:val="center"/>
        <w:outlineLvl w:val="0"/>
        <w:rPr>
          <w:rFonts w:hint="eastAsia" w:ascii="Times New Roman" w:hAnsi="Times New Roman" w:eastAsia="宋体" w:cs="Times New Roman"/>
          <w:b/>
          <w:bCs/>
          <w:sz w:val="24"/>
          <w:szCs w:val="24"/>
          <w:lang w:val="en-US" w:eastAsia="zh-CN"/>
        </w:rPr>
      </w:pPr>
      <w:bookmarkStart w:id="89" w:name="_Toc26703"/>
      <w:bookmarkStart w:id="90" w:name="_Toc270"/>
      <w:r>
        <w:rPr>
          <w:rFonts w:hint="eastAsia" w:ascii="Times New Roman" w:hAnsi="Times New Roman" w:eastAsia="宋体" w:cs="Times New Roman"/>
          <w:b/>
          <w:bCs/>
          <w:sz w:val="24"/>
          <w:szCs w:val="24"/>
          <w:lang w:val="en-US" w:eastAsia="zh-CN"/>
        </w:rPr>
        <w:t>七、问题三模型的建立和求解</w:t>
      </w:r>
      <w:bookmarkEnd w:id="89"/>
      <w:bookmarkEnd w:id="90"/>
    </w:p>
    <w:p w14:paraId="060B47C5">
      <w:pPr>
        <w:jc w:val="both"/>
        <w:outlineLvl w:val="1"/>
        <w:rPr>
          <w:rFonts w:hint="eastAsia" w:ascii="Times New Roman" w:hAnsi="Times New Roman" w:eastAsia="宋体" w:cs="Times New Roman"/>
          <w:sz w:val="22"/>
          <w:szCs w:val="22"/>
          <w:lang w:eastAsia="zh-CN"/>
        </w:rPr>
      </w:pPr>
      <w:bookmarkStart w:id="91" w:name="_Toc18764"/>
      <w:bookmarkStart w:id="92" w:name="_Toc19956"/>
      <w:r>
        <w:rPr>
          <w:rFonts w:hint="eastAsia" w:ascii="Times New Roman" w:hAnsi="Times New Roman" w:eastAsia="宋体" w:cs="Times New Roman"/>
          <w:sz w:val="22"/>
          <w:szCs w:val="22"/>
          <w:lang w:eastAsia="zh-CN"/>
        </w:rPr>
        <w:t>7.1 模型假设</w:t>
      </w:r>
      <w:bookmarkEnd w:id="91"/>
      <w:bookmarkEnd w:id="92"/>
    </w:p>
    <w:p w14:paraId="79C6E096">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1.</w:t>
      </w:r>
      <w:r>
        <w:rPr>
          <w:rFonts w:hint="eastAsia" w:ascii="Times New Roman" w:hAnsi="Times New Roman" w:eastAsia="宋体" w:cs="Times New Roman"/>
          <w:sz w:val="22"/>
          <w:szCs w:val="22"/>
          <w:lang w:eastAsia="zh-CN"/>
        </w:rPr>
        <w:t>6个月内采用固定干预强度、固定训练频率方案，便于执行、依从性高，且便于清晰呈现“</w:t>
      </w:r>
      <w:r>
        <w:rPr>
          <w:rFonts w:hint="eastAsia" w:ascii="Times New Roman" w:hAnsi="Times New Roman" w:eastAsia="宋体" w:cs="Times New Roman"/>
          <w:sz w:val="22"/>
          <w:szCs w:val="22"/>
          <w:lang w:val="en-US" w:eastAsia="zh-CN"/>
        </w:rPr>
        <w:t>患</w:t>
      </w:r>
      <w:r>
        <w:rPr>
          <w:rFonts w:hint="eastAsia" w:ascii="Times New Roman" w:hAnsi="Times New Roman" w:eastAsia="宋体" w:cs="Times New Roman"/>
          <w:sz w:val="22"/>
          <w:szCs w:val="22"/>
          <w:lang w:eastAsia="zh-CN"/>
        </w:rPr>
        <w:t>者特征 - 最优方案”匹配规律；</w:t>
      </w:r>
    </w:p>
    <w:p w14:paraId="356ED5C5">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2.</w:t>
      </w:r>
      <w:r>
        <w:rPr>
          <w:rFonts w:hint="eastAsia" w:ascii="Times New Roman" w:hAnsi="Times New Roman" w:eastAsia="宋体" w:cs="Times New Roman"/>
          <w:sz w:val="22"/>
          <w:szCs w:val="22"/>
          <w:lang w:eastAsia="zh-CN"/>
        </w:rPr>
        <w:t>痰湿积分月度下降率仅由活动干预强度与训练频率决定；</w:t>
      </w:r>
    </w:p>
    <w:p w14:paraId="7A11781C">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3.</w:t>
      </w:r>
      <w:r>
        <w:rPr>
          <w:rFonts w:hint="eastAsia" w:ascii="Times New Roman" w:hAnsi="Times New Roman" w:eastAsia="宋体" w:cs="Times New Roman"/>
          <w:sz w:val="22"/>
          <w:szCs w:val="22"/>
          <w:lang w:eastAsia="zh-CN"/>
        </w:rPr>
        <w:t>中医调理分级由月初痰湿积分动态确定，积分下降可自动降级；</w:t>
      </w:r>
    </w:p>
    <w:p w14:paraId="340E4FF8">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4.</w:t>
      </w:r>
      <w:r>
        <w:rPr>
          <w:rFonts w:hint="eastAsia" w:ascii="Times New Roman" w:hAnsi="Times New Roman" w:eastAsia="宋体" w:cs="Times New Roman"/>
          <w:sz w:val="22"/>
          <w:szCs w:val="22"/>
          <w:lang w:eastAsia="zh-CN"/>
        </w:rPr>
        <w:t>每月按4周计算，6个月总干预成本不超过2000元；</w:t>
      </w:r>
    </w:p>
    <w:p w14:paraId="69AE0F12">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lang w:eastAsia="zh-CN"/>
        </w:rPr>
        <w:t>每周训练 &lt; 5次时积分基本稳定，≥5次时按模型下降。</w:t>
      </w:r>
    </w:p>
    <w:p w14:paraId="5D94168C">
      <w:pPr>
        <w:jc w:val="both"/>
        <w:outlineLvl w:val="1"/>
        <w:rPr>
          <w:rFonts w:hint="eastAsia" w:ascii="Times New Roman" w:hAnsi="Times New Roman" w:eastAsia="宋体" w:cs="Times New Roman"/>
          <w:sz w:val="22"/>
          <w:szCs w:val="22"/>
          <w:lang w:eastAsia="zh-CN"/>
        </w:rPr>
      </w:pPr>
      <w:bookmarkStart w:id="93" w:name="_Toc29247"/>
      <w:bookmarkStart w:id="94" w:name="_Toc18036"/>
      <w:r>
        <w:rPr>
          <w:rFonts w:hint="eastAsia" w:ascii="Times New Roman" w:hAnsi="Times New Roman" w:eastAsia="宋体" w:cs="Times New Roman"/>
          <w:sz w:val="22"/>
          <w:szCs w:val="22"/>
          <w:lang w:eastAsia="zh-CN"/>
        </w:rPr>
        <w:t>7.2 模型构建</w:t>
      </w:r>
      <w:bookmarkEnd w:id="93"/>
      <w:bookmarkEnd w:id="94"/>
    </w:p>
    <w:p w14:paraId="544AB451">
      <w:pPr>
        <w:jc w:val="both"/>
        <w:outlineLvl w:val="2"/>
        <w:rPr>
          <w:rFonts w:hint="eastAsia" w:ascii="Times New Roman" w:hAnsi="Times New Roman" w:eastAsia="宋体" w:cs="Times New Roman"/>
          <w:sz w:val="22"/>
          <w:szCs w:val="22"/>
          <w:lang w:eastAsia="zh-CN"/>
        </w:rPr>
      </w:pPr>
      <w:bookmarkStart w:id="95" w:name="_Toc5901"/>
      <w:bookmarkStart w:id="96" w:name="_Toc9938"/>
      <w:r>
        <w:rPr>
          <w:rFonts w:hint="eastAsia" w:ascii="Times New Roman" w:hAnsi="Times New Roman" w:eastAsia="宋体" w:cs="Times New Roman"/>
          <w:sz w:val="22"/>
          <w:szCs w:val="22"/>
          <w:lang w:eastAsia="zh-CN"/>
        </w:rPr>
        <w:t>7.2.1 中医调理分级规则</w:t>
      </w:r>
      <w:bookmarkEnd w:id="95"/>
      <w:bookmarkEnd w:id="96"/>
    </w:p>
    <w:p w14:paraId="083EE77E">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L</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d>
            <m:dPr>
              <m:begChr m:val="{"/>
              <m:endChr m:val=""/>
              <m:ctrlPr>
                <w:rPr>
                  <w:rFonts w:hint="default" w:ascii="Cambria Math" w:hAnsi="Cambria Math" w:eastAsia="宋体" w:cs="Times New Roman"/>
                  <w:sz w:val="22"/>
                  <w:szCs w:val="22"/>
                  <w:lang w:eastAsia="zh-CN"/>
                </w:rPr>
              </m:ctrlPr>
            </m:dPr>
            <m:e>
              <m:eqArr>
                <m:eqArrPr>
                  <m:ctrlPr>
                    <w:rPr>
                      <w:rFonts w:hint="default" w:ascii="Cambria Math" w:hAnsi="Cambria Math" w:eastAsia="宋体" w:cs="Times New Roman"/>
                      <w:sz w:val="22"/>
                      <w:szCs w:val="22"/>
                      <w:lang w:eastAsia="zh-CN"/>
                    </w:rPr>
                  </m:ctrlPr>
                </m:eqArrPr>
                <m:e>
                  <m:r>
                    <m:rPr>
                      <m:sty m:val="p"/>
                    </m:rPr>
                    <w:rPr>
                      <w:rFonts w:hint="default" w:ascii="Times New Roman" w:hAnsi="Times New Roman" w:eastAsia="宋体" w:cs="Times New Roman"/>
                      <w:sz w:val="22"/>
                      <w:szCs w:val="22"/>
                      <w:lang w:eastAsia="zh-CN"/>
                    </w:rPr>
                    <m:t>1（基础调理）,</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&lt;59</m:t>
                  </m:r>
                  <m:ctrlPr>
                    <w:rPr>
                      <w:rFonts w:hint="default"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2（中度调理）,59≤</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≤61</m:t>
                  </m:r>
                  <m:ctrlPr>
                    <w:rPr>
                      <w:rFonts w:hint="default"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3（强化调理）,</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≥62</m:t>
                  </m:r>
                  <m:ctrlPr>
                    <w:rPr>
                      <w:rFonts w:hint="default" w:ascii="Cambria Math" w:hAnsi="Cambria Math" w:eastAsia="宋体" w:cs="Times New Roman"/>
                      <w:sz w:val="22"/>
                      <w:szCs w:val="22"/>
                      <w:lang w:eastAsia="zh-CN"/>
                    </w:rPr>
                  </m:ctrlPr>
                </m:e>
              </m:eqArr>
              <m:ctrlPr>
                <w:rPr>
                  <w:rFonts w:hint="default" w:ascii="Cambria Math" w:hAnsi="Cambria Math" w:eastAsia="宋体" w:cs="Times New Roman"/>
                  <w:sz w:val="22"/>
                  <w:szCs w:val="22"/>
                  <w:lang w:eastAsia="zh-CN"/>
                </w:rPr>
              </m:ctrlPr>
            </m:e>
          </m:d>
        </m:oMath>
      </m:oMathPara>
    </w:p>
    <w:p w14:paraId="52A20EF8">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对应月成本：</w:t>
      </w:r>
    </w:p>
    <w:p w14:paraId="2B0B9315">
      <w:pPr>
        <w:ind w:firstLine="440" w:firstLineChars="200"/>
        <w:jc w:val="both"/>
        <w:rPr>
          <w:rFonts w:hint="default" w:ascii="Times New Roman" w:hAnsi="Times New Roman" w:eastAsia="宋体" w:cs="Times New Roman"/>
          <w:sz w:val="22"/>
          <w:szCs w:val="22"/>
          <w:lang w:val="en-US" w:eastAsia="zh-CN"/>
        </w:rPr>
      </w:pPr>
      <m:oMathPara>
        <m:oMath>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1</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=30,</m:t>
          </m:r>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2</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=80,</m:t>
          </m:r>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3</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=130</m:t>
          </m:r>
        </m:oMath>
      </m:oMathPara>
    </w:p>
    <w:p w14:paraId="4BE11BD7">
      <w:pPr>
        <w:jc w:val="both"/>
        <w:outlineLvl w:val="2"/>
        <w:rPr>
          <w:rFonts w:hint="default" w:ascii="Times New Roman" w:hAnsi="Times New Roman" w:eastAsia="宋体" w:cs="Times New Roman"/>
          <w:sz w:val="22"/>
          <w:szCs w:val="22"/>
          <w:lang w:val="en-US" w:eastAsia="zh-CN"/>
        </w:rPr>
      </w:pPr>
      <w:bookmarkStart w:id="97" w:name="_Toc317"/>
      <w:bookmarkStart w:id="98" w:name="_Toc12263"/>
      <w:r>
        <w:rPr>
          <w:rFonts w:hint="default" w:ascii="Times New Roman" w:hAnsi="Times New Roman" w:eastAsia="宋体" w:cs="Times New Roman"/>
          <w:sz w:val="22"/>
          <w:szCs w:val="22"/>
          <w:lang w:val="en-US" w:eastAsia="zh-CN"/>
        </w:rPr>
        <w:t>7.2.2 月度积分下降率模型</w:t>
      </w:r>
      <w:bookmarkEnd w:id="97"/>
      <w:bookmarkEnd w:id="98"/>
    </w:p>
    <w:p w14:paraId="78A5C367">
      <w:pPr>
        <w:ind w:firstLine="440" w:firstLineChars="200"/>
        <w:jc w:val="both"/>
        <w:rPr>
          <w:rFonts w:hint="default" w:ascii="Times New Roman" w:hAnsi="Times New Roman" w:eastAsia="宋体" w:cs="Times New Roman"/>
          <w:sz w:val="22"/>
          <w:szCs w:val="22"/>
          <w:lang w:eastAsia="zh-CN"/>
        </w:rPr>
      </w:pPr>
      <m:oMathPara>
        <m:oMath>
          <m:r>
            <m:rPr>
              <m:sty m:val="p"/>
            </m:rPr>
            <w:rPr>
              <w:rFonts w:hint="default" w:ascii="Times New Roman" w:hAnsi="Times New Roman" w:eastAsia="宋体" w:cs="Times New Roman"/>
              <w:sz w:val="22"/>
              <w:szCs w:val="22"/>
              <w:lang w:eastAsia="zh-CN"/>
            </w:rPr>
            <m:t>r=</m:t>
          </m:r>
          <m:d>
            <m:dPr>
              <m:begChr m:val="{"/>
              <m:endChr m:val=""/>
              <m:ctrlPr>
                <w:rPr>
                  <w:rFonts w:hint="default" w:ascii="Cambria Math" w:hAnsi="Cambria Math" w:eastAsia="宋体" w:cs="Times New Roman"/>
                  <w:sz w:val="22"/>
                  <w:szCs w:val="22"/>
                  <w:lang w:eastAsia="zh-CN"/>
                </w:rPr>
              </m:ctrlPr>
            </m:dPr>
            <m:e>
              <m:eqArr>
                <m:eqArrPr>
                  <m:ctrlPr>
                    <w:rPr>
                      <w:rFonts w:hint="default" w:ascii="Cambria Math" w:hAnsi="Cambria Math" w:eastAsia="宋体" w:cs="Times New Roman"/>
                      <w:sz w:val="22"/>
                      <w:szCs w:val="22"/>
                      <w:lang w:eastAsia="zh-CN"/>
                    </w:rPr>
                  </m:ctrlPr>
                </m:eqArrPr>
                <m:e>
                  <m:r>
                    <m:rPr>
                      <m:sty m:val="p"/>
                    </m:rPr>
                    <w:rPr>
                      <w:rFonts w:hint="default" w:ascii="Times New Roman" w:hAnsi="Times New Roman" w:eastAsia="宋体" w:cs="Times New Roman"/>
                      <w:sz w:val="22"/>
                      <w:szCs w:val="22"/>
                      <w:lang w:eastAsia="zh-CN"/>
                    </w:rPr>
                    <m:t>0,f&lt;5</m:t>
                  </m:r>
                  <m:ctrlPr>
                    <w:rPr>
                      <w:rFonts w:hint="eastAsia"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0.03I+0.01(f−5),f≥5</m:t>
                  </m:r>
                  <m:ctrlPr>
                    <w:rPr>
                      <w:rFonts w:hint="eastAsia" w:ascii="Cambria Math" w:hAnsi="Cambria Math" w:eastAsia="宋体" w:cs="Times New Roman"/>
                      <w:sz w:val="22"/>
                      <w:szCs w:val="22"/>
                      <w:lang w:eastAsia="zh-CN"/>
                    </w:rPr>
                  </m:ctrlPr>
                </m:e>
              </m:eqArr>
              <m:ctrlPr>
                <w:rPr>
                  <w:rFonts w:hint="default" w:ascii="Cambria Math" w:hAnsi="Cambria Math" w:eastAsia="宋体" w:cs="Times New Roman"/>
                  <w:sz w:val="22"/>
                  <w:szCs w:val="22"/>
                  <w:lang w:eastAsia="zh-CN"/>
                </w:rPr>
              </m:ctrlPr>
            </m:e>
          </m:d>
        </m:oMath>
      </m:oMathPara>
    </w:p>
    <w:p w14:paraId="1DFC4BD4">
      <w:pPr>
        <w:jc w:val="both"/>
        <w:outlineLvl w:val="2"/>
        <w:rPr>
          <w:rFonts w:hint="default" w:ascii="Times New Roman" w:hAnsi="Times New Roman" w:eastAsia="宋体" w:cs="Times New Roman"/>
          <w:sz w:val="22"/>
          <w:szCs w:val="22"/>
          <w:lang w:val="en-US" w:eastAsia="zh-CN"/>
        </w:rPr>
      </w:pPr>
      <w:bookmarkStart w:id="99" w:name="_Toc23197"/>
      <w:bookmarkStart w:id="100" w:name="_Toc13891"/>
      <w:r>
        <w:rPr>
          <w:rFonts w:hint="default" w:ascii="Times New Roman" w:hAnsi="Times New Roman" w:eastAsia="宋体" w:cs="Times New Roman"/>
          <w:sz w:val="22"/>
          <w:szCs w:val="22"/>
          <w:lang w:val="en-US" w:eastAsia="zh-CN"/>
        </w:rPr>
        <w:t>7.2.3 痰湿积分递推公式</w:t>
      </w:r>
      <w:bookmarkEnd w:id="99"/>
      <w:bookmarkEnd w:id="100"/>
    </w:p>
    <w:p w14:paraId="5B4A3425">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每月积分更新：</w:t>
      </w:r>
    </w:p>
    <w:p w14:paraId="366E71D6">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×(1−r), m=1,2,…,6</m:t>
          </m:r>
        </m:oMath>
      </m:oMathPara>
    </w:p>
    <w:p w14:paraId="23DD8E41">
      <w:pPr>
        <w:jc w:val="both"/>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6 个月最终积分：</w:t>
      </w:r>
    </w:p>
    <w:p w14:paraId="575E674F">
      <w:pPr>
        <w:ind w:firstLine="440" w:firstLineChars="200"/>
        <w:jc w:val="both"/>
        <w:rPr>
          <w:rFonts w:hint="eastAsia"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0</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m:t>
          </m:r>
          <m:sSup>
            <m:sSupPr>
              <m:ctrlPr>
                <w:rPr>
                  <w:rFonts w:hint="default" w:ascii="Cambria Math" w:hAnsi="Cambria Math" w:eastAsia="宋体" w:cs="Times New Roman"/>
                  <w:sz w:val="22"/>
                  <w:szCs w:val="22"/>
                  <w:lang w:eastAsia="zh-CN"/>
                </w:rPr>
              </m:ctrlPr>
            </m:sSupPr>
            <m:e>
              <m:r>
                <m:rPr>
                  <m:sty m:val="p"/>
                </m:rPr>
                <w:rPr>
                  <w:rFonts w:hint="default" w:ascii="Times New Roman" w:hAnsi="Times New Roman" w:eastAsia="宋体" w:cs="Times New Roman"/>
                  <w:sz w:val="22"/>
                  <w:szCs w:val="22"/>
                  <w:lang w:eastAsia="zh-CN"/>
                </w:rPr>
                <m:t>)</m:t>
              </m:r>
              <m:ctrlPr>
                <w:rPr>
                  <w:rFonts w:hint="eastAsia" w:ascii="Cambria Math" w:hAnsi="Cambria Math" w:eastAsia="宋体" w:cs="Times New Roman"/>
                  <w:sz w:val="22"/>
                  <w:szCs w:val="22"/>
                  <w:lang w:eastAsia="zh-CN"/>
                </w:rPr>
              </m:ctrlPr>
            </m:e>
            <m:sup>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p>
          </m:sSup>
        </m:oMath>
      </m:oMathPara>
    </w:p>
    <w:p w14:paraId="4C158987">
      <w:pPr>
        <w:jc w:val="both"/>
        <w:outlineLvl w:val="2"/>
        <w:rPr>
          <w:rFonts w:hint="default" w:ascii="Times New Roman" w:hAnsi="Times New Roman" w:eastAsia="宋体" w:cs="Times New Roman"/>
          <w:sz w:val="22"/>
          <w:szCs w:val="22"/>
          <w:lang w:val="en-US" w:eastAsia="zh-CN"/>
        </w:rPr>
      </w:pPr>
      <w:bookmarkStart w:id="101" w:name="_Toc1103"/>
      <w:bookmarkStart w:id="102" w:name="_Toc31515"/>
      <w:r>
        <w:rPr>
          <w:rFonts w:hint="default" w:ascii="Times New Roman" w:hAnsi="Times New Roman" w:eastAsia="宋体" w:cs="Times New Roman"/>
          <w:sz w:val="22"/>
          <w:szCs w:val="22"/>
          <w:lang w:val="en-US" w:eastAsia="zh-CN"/>
        </w:rPr>
        <w:t>7.2.4 成本模型</w:t>
      </w:r>
      <w:bookmarkEnd w:id="101"/>
      <w:bookmarkEnd w:id="102"/>
    </w:p>
    <w:p w14:paraId="025E1992">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月成本：</w:t>
      </w:r>
    </w:p>
    <w:p w14:paraId="2212FF5E">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TCM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L</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)+4f×</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act</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(I)</m:t>
          </m:r>
        </m:oMath>
      </m:oMathPara>
    </w:p>
    <w:p w14:paraId="3010AF55">
      <w:pPr>
        <w:jc w:val="both"/>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6个月总成本：</w:t>
      </w:r>
    </w:p>
    <w:p w14:paraId="3970F832">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total</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nary>
            <m:naryPr>
              <m:chr m:val="∑"/>
              <m:limLoc m:val="subSup"/>
              <m:ctrlPr>
                <w:rPr>
                  <w:rFonts w:hint="default" w:ascii="Cambria Math" w:hAnsi="Cambria Math" w:eastAsia="宋体" w:cs="Times New Roman"/>
                  <w:sz w:val="22"/>
                  <w:szCs w:val="22"/>
                  <w:lang w:eastAsia="zh-CN"/>
                </w:rPr>
              </m:ctrlPr>
            </m:naryPr>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up>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p>
            <m:e>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ctrlPr>
                <w:rPr>
                  <w:rFonts w:hint="default" w:ascii="Cambria Math" w:hAnsi="Cambria Math" w:eastAsia="宋体" w:cs="Times New Roman"/>
                  <w:sz w:val="22"/>
                  <w:szCs w:val="22"/>
                  <w:lang w:eastAsia="zh-CN"/>
                </w:rPr>
              </m:ctrlPr>
            </m:e>
          </m:nary>
        </m:oMath>
      </m:oMathPara>
    </w:p>
    <w:p w14:paraId="6F1A806F">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单次活动成本：</w:t>
      </w:r>
    </w:p>
    <w:p w14:paraId="13806509">
      <w:pPr>
        <w:ind w:firstLine="440" w:firstLineChars="200"/>
        <w:jc w:val="both"/>
        <w:rPr>
          <w:rFonts w:hint="default" w:ascii="Times New Roman" w:hAnsi="Times New Roman" w:eastAsia="宋体" w:cs="Times New Roman"/>
          <w:sz w:val="22"/>
          <w:szCs w:val="22"/>
          <w:lang w:val="en-US" w:eastAsia="zh-CN"/>
        </w:rPr>
      </w:pPr>
      <m:oMathPara>
        <m:oMath>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=3,</m:t>
          </m:r>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2</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=5,</m:t>
          </m:r>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3</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=8</m:t>
          </m:r>
        </m:oMath>
      </m:oMathPara>
    </w:p>
    <w:p w14:paraId="0D9793F6">
      <w:pPr>
        <w:jc w:val="both"/>
        <w:outlineLvl w:val="2"/>
        <w:rPr>
          <w:rFonts w:hint="default" w:ascii="Times New Roman" w:hAnsi="Times New Roman" w:eastAsia="宋体" w:cs="Times New Roman"/>
          <w:sz w:val="22"/>
          <w:szCs w:val="22"/>
          <w:lang w:val="en-US" w:eastAsia="zh-CN"/>
        </w:rPr>
      </w:pPr>
      <w:bookmarkStart w:id="103" w:name="_Toc30321"/>
      <w:bookmarkStart w:id="104" w:name="_Toc25855"/>
      <w:r>
        <w:rPr>
          <w:rFonts w:hint="default" w:ascii="Times New Roman" w:hAnsi="Times New Roman" w:eastAsia="宋体" w:cs="Times New Roman"/>
          <w:sz w:val="22"/>
          <w:szCs w:val="22"/>
          <w:lang w:val="en-US" w:eastAsia="zh-CN"/>
        </w:rPr>
        <w:t>7.2.5 约束条件</w:t>
      </w:r>
      <w:bookmarkEnd w:id="103"/>
      <w:bookmarkEnd w:id="104"/>
    </w:p>
    <w:p w14:paraId="3FD69408">
      <w:pPr>
        <w:jc w:val="both"/>
        <w:outlineLvl w:val="3"/>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1.</w:t>
      </w:r>
      <w:r>
        <w:rPr>
          <w:rFonts w:hint="default" w:ascii="Times New Roman" w:hAnsi="Times New Roman" w:eastAsia="宋体" w:cs="Times New Roman"/>
          <w:sz w:val="22"/>
          <w:szCs w:val="22"/>
          <w:lang w:val="en-US" w:eastAsia="zh-CN"/>
        </w:rPr>
        <w:t>年龄约束</w:t>
      </w:r>
    </w:p>
    <w:p w14:paraId="25CBF9D4">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40–59岁：可选用1、2、3级强度</w:t>
      </w:r>
    </w:p>
    <w:p w14:paraId="0AEBA9DE">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60–79岁：可选用1、2级强度</w:t>
      </w:r>
    </w:p>
    <w:p w14:paraId="152D8310">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80–89岁：仅可选用1级强度</w:t>
      </w:r>
    </w:p>
    <w:p w14:paraId="089FAA9F">
      <w:pPr>
        <w:jc w:val="both"/>
        <w:outlineLvl w:val="3"/>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2.</w:t>
      </w:r>
      <w:r>
        <w:rPr>
          <w:rFonts w:hint="default" w:ascii="Times New Roman" w:hAnsi="Times New Roman" w:eastAsia="宋体" w:cs="Times New Roman"/>
          <w:sz w:val="22"/>
          <w:szCs w:val="22"/>
          <w:lang w:val="en-US" w:eastAsia="zh-CN"/>
        </w:rPr>
        <w:t>活动量表总分约束</w:t>
      </w:r>
    </w:p>
    <w:p w14:paraId="6C280AA5">
      <w:pPr>
        <w:ind w:firstLine="440" w:firstLineChars="200"/>
        <w:jc w:val="both"/>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＜40 分</m:t>
        </m:r>
      </m:oMath>
      <w:r>
        <w:rPr>
          <w:rFonts w:hint="default" w:ascii="Times New Roman" w:hAnsi="Times New Roman" w:eastAsia="宋体" w:cs="Times New Roman"/>
          <w:sz w:val="22"/>
          <w:szCs w:val="22"/>
          <w:lang w:val="en-US" w:eastAsia="zh-CN"/>
        </w:rPr>
        <w:t>：仅1级强度</w:t>
      </w:r>
    </w:p>
    <w:p w14:paraId="30EA372C">
      <w:pPr>
        <w:ind w:firstLine="440" w:firstLineChars="200"/>
        <w:jc w:val="both"/>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40≤总分＜60 分</m:t>
        </m:r>
      </m:oMath>
      <w:r>
        <w:rPr>
          <w:rFonts w:hint="default" w:ascii="Times New Roman" w:hAnsi="Times New Roman" w:eastAsia="宋体" w:cs="Times New Roman"/>
          <w:sz w:val="22"/>
          <w:szCs w:val="22"/>
          <w:lang w:val="en-US" w:eastAsia="zh-CN"/>
        </w:rPr>
        <w:t>：可选用1、2 级强度</w:t>
      </w:r>
    </w:p>
    <w:p w14:paraId="74CE7DD4">
      <w:pPr>
        <w:ind w:firstLine="440" w:firstLineChars="200"/>
        <w:jc w:val="both"/>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≥60 分</m:t>
        </m:r>
      </m:oMath>
      <w:r>
        <w:rPr>
          <w:rFonts w:hint="default" w:ascii="Times New Roman" w:hAnsi="Times New Roman" w:eastAsia="宋体" w:cs="Times New Roman"/>
          <w:sz w:val="22"/>
          <w:szCs w:val="22"/>
          <w:lang w:val="en-US" w:eastAsia="zh-CN"/>
        </w:rPr>
        <w:t>：可选用1、2、3级强度</w:t>
      </w:r>
    </w:p>
    <w:p w14:paraId="04AD4032">
      <w:pPr>
        <w:jc w:val="both"/>
        <w:outlineLvl w:val="3"/>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3.</w:t>
      </w:r>
      <w:r>
        <w:rPr>
          <w:rFonts w:hint="default" w:ascii="Times New Roman" w:hAnsi="Times New Roman" w:eastAsia="宋体" w:cs="Times New Roman"/>
          <w:sz w:val="22"/>
          <w:szCs w:val="22"/>
          <w:lang w:val="en-US" w:eastAsia="zh-CN"/>
        </w:rPr>
        <w:t>预算约束</w:t>
      </w:r>
      <w:r>
        <w:rPr>
          <w:rFonts w:hint="eastAsia" w:ascii="Times New Roman" w:hAnsi="Times New Roman" w:eastAsia="宋体" w:cs="Times New Roman"/>
          <w:sz w:val="22"/>
          <w:szCs w:val="22"/>
          <w:lang w:val="en-US" w:eastAsia="zh-CN"/>
        </w:rPr>
        <w:t>:</w:t>
      </w:r>
    </w:p>
    <w:p w14:paraId="21D14BF3">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total</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≤2000</m:t>
          </m:r>
        </m:oMath>
      </m:oMathPara>
    </w:p>
    <w:p w14:paraId="1CA098A9">
      <w:pPr>
        <w:jc w:val="both"/>
        <w:outlineLvl w:val="3"/>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4.取值约束:</w:t>
      </w:r>
    </w:p>
    <w:p w14:paraId="730527FB">
      <w:pPr>
        <w:ind w:firstLine="440" w:firstLineChars="200"/>
        <w:jc w:val="both"/>
        <w:rPr>
          <w:rFonts w:hint="default" w:ascii="Times New Roman" w:hAnsi="Times New Roman" w:eastAsia="宋体" w:cs="Times New Roman"/>
          <w:sz w:val="22"/>
          <w:szCs w:val="22"/>
          <w:lang w:val="en-US" w:eastAsia="zh-CN"/>
        </w:rPr>
      </w:pPr>
      <m:oMathPara>
        <m:oMath>
          <m:r>
            <m:rPr>
              <m:sty m:val="p"/>
            </m:rPr>
            <w:rPr>
              <w:rFonts w:hint="default" w:ascii="Times New Roman" w:hAnsi="Times New Roman" w:eastAsia="宋体" w:cs="Times New Roman"/>
              <w:sz w:val="22"/>
              <w:szCs w:val="22"/>
              <w:lang w:val="en-US" w:eastAsia="zh-CN"/>
            </w:rPr>
            <m:t>I∈</m:t>
          </m:r>
          <m:d>
            <m:dPr>
              <m:begChr m:val="{"/>
              <m:endChr m:val="}"/>
              <m:ctrlPr>
                <w:rPr>
                  <w:rFonts w:hint="default"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1,2,3</m:t>
              </m:r>
              <m:ctrl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,f∈</m:t>
          </m:r>
          <m:d>
            <m:dPr>
              <m:begChr m:val="{"/>
              <m:endChr m:val="}"/>
              <m:ctrlPr>
                <w:rPr>
                  <w:rFonts w:hint="default"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1,2,...,10</m:t>
              </m:r>
              <m:ctrlPr>
                <w:rPr>
                  <w:rFonts w:hint="default" w:ascii="Cambria Math" w:hAnsi="Cambria Math" w:eastAsia="宋体" w:cs="Times New Roman"/>
                  <w:sz w:val="22"/>
                  <w:szCs w:val="22"/>
                  <w:lang w:val="en-US" w:eastAsia="zh-CN"/>
                </w:rPr>
              </m:ctrlPr>
            </m:e>
          </m:d>
        </m:oMath>
      </m:oMathPara>
    </w:p>
    <w:p w14:paraId="547F6A2A">
      <w:pPr>
        <w:jc w:val="both"/>
        <w:outlineLvl w:val="2"/>
        <w:rPr>
          <w:rFonts w:hint="default" w:ascii="Times New Roman" w:hAnsi="Times New Roman" w:eastAsia="宋体" w:cs="Times New Roman"/>
          <w:sz w:val="22"/>
          <w:szCs w:val="22"/>
          <w:lang w:val="en-US" w:eastAsia="zh-CN"/>
        </w:rPr>
      </w:pPr>
      <w:bookmarkStart w:id="105" w:name="_Toc29167"/>
      <w:bookmarkStart w:id="106" w:name="_Toc27621"/>
      <w:r>
        <w:rPr>
          <w:rFonts w:hint="default" w:ascii="Times New Roman" w:hAnsi="Times New Roman" w:eastAsia="宋体" w:cs="Times New Roman"/>
          <w:sz w:val="22"/>
          <w:szCs w:val="22"/>
          <w:lang w:val="en-US" w:eastAsia="zh-CN"/>
        </w:rPr>
        <w:t>7.2.6 目标函数</w:t>
      </w:r>
      <w:bookmarkEnd w:id="105"/>
      <w:bookmarkEnd w:id="106"/>
    </w:p>
    <w:p w14:paraId="77118F64">
      <w:pPr>
        <w:jc w:val="both"/>
        <w:rPr>
          <w:rFonts w:hint="default" w:ascii="Times New Roman" w:hAnsi="Times New Roman" w:eastAsia="宋体" w:cs="Times New Roman"/>
          <w:sz w:val="22"/>
          <w:szCs w:val="22"/>
          <w:lang w:eastAsia="zh-CN"/>
        </w:rPr>
      </w:pPr>
      <m:oMathPara>
        <m:oMath>
          <m:func>
            <m:funcPr>
              <m:ctrlPr>
                <w:rPr>
                  <w:rFonts w:hint="default" w:ascii="Cambria Math" w:hAnsi="Cambria Math" w:eastAsia="宋体" w:cs="Times New Roman"/>
                  <w:sz w:val="22"/>
                  <w:szCs w:val="22"/>
                  <w:lang w:eastAsia="zh-CN"/>
                </w:rPr>
              </m:ctrlPr>
            </m:funcPr>
            <m:fName>
              <m:limLow>
                <m:limLowPr>
                  <m:ctrlPr>
                    <w:rPr>
                      <w:rFonts w:hint="default" w:ascii="Cambria Math" w:hAnsi="Cambria Math" w:eastAsia="宋体" w:cs="Times New Roman"/>
                      <w:sz w:val="22"/>
                      <w:szCs w:val="22"/>
                      <w:lang w:eastAsia="zh-CN"/>
                    </w:rPr>
                  </m:ctrlPr>
                </m:limLowPr>
                <m:e>
                  <m:r>
                    <m:rPr>
                      <m:sty m:val="p"/>
                    </m:rPr>
                    <w:rPr>
                      <w:rFonts w:hint="default" w:ascii="Times New Roman" w:hAnsi="Times New Roman" w:eastAsia="宋体" w:cs="Times New Roman"/>
                      <w:sz w:val="22"/>
                      <w:szCs w:val="22"/>
                      <w:lang w:eastAsia="zh-CN"/>
                    </w:rPr>
                    <m:t>min</m:t>
                  </m:r>
                  <m:ctrlPr>
                    <w:rPr>
                      <w:rFonts w:hint="eastAsia" w:ascii="Cambria Math" w:hAnsi="Cambria Math" w:eastAsia="宋体" w:cs="Times New Roman"/>
                      <w:sz w:val="22"/>
                      <w:szCs w:val="22"/>
                      <w:lang w:eastAsia="zh-CN"/>
                    </w:rPr>
                  </m:ctrlPr>
                </m:e>
                <m:lim>
                  <m:r>
                    <m:rPr>
                      <m:sty m:val="p"/>
                    </m:rPr>
                    <w:rPr>
                      <w:rFonts w:hint="default" w:ascii="Times New Roman" w:hAnsi="Times New Roman" w:eastAsia="宋体" w:cs="Times New Roman"/>
                      <w:sz w:val="22"/>
                      <w:szCs w:val="22"/>
                      <w:lang w:eastAsia="zh-CN"/>
                    </w:rPr>
                    <m:t>I,f</m:t>
                  </m:r>
                  <m:ctrlPr>
                    <w:rPr>
                      <w:rFonts w:hint="eastAsia" w:ascii="Cambria Math" w:hAnsi="Cambria Math" w:eastAsia="宋体" w:cs="Times New Roman"/>
                      <w:sz w:val="22"/>
                      <w:szCs w:val="22"/>
                      <w:lang w:eastAsia="zh-CN"/>
                    </w:rPr>
                  </m:ctrlPr>
                </m:lim>
              </m:limLow>
              <m:ctrlPr>
                <w:rPr>
                  <w:rFonts w:hint="default" w:ascii="Cambria Math" w:hAnsi="Cambria Math" w:eastAsia="宋体" w:cs="Times New Roman"/>
                  <w:sz w:val="22"/>
                  <w:szCs w:val="22"/>
                  <w:lang w:eastAsia="zh-CN"/>
                </w:rPr>
              </m:ctrlPr>
            </m:fName>
            <m:e>
              <m:r>
                <m:rPr>
                  <m:sty m:val="p"/>
                </m:rPr>
                <w:rPr>
                  <w:rFonts w:hint="default" w:ascii="Times New Roman" w:hAnsi="Times New Roman" w:eastAsia="宋体" w:cs="Times New Roman"/>
                  <w:sz w:val="22"/>
                  <w:szCs w:val="22"/>
                  <w:lang w:eastAsia="zh-CN"/>
                </w:rPr>
                <m:t> </m:t>
              </m:r>
              <m:ctrlPr>
                <w:rPr>
                  <w:rFonts w:hint="default" w:ascii="Cambria Math" w:hAnsi="Cambria Math" w:eastAsia="宋体" w:cs="Times New Roman"/>
                  <w:sz w:val="22"/>
                  <w:szCs w:val="22"/>
                  <w:lang w:eastAsia="zh-CN"/>
                </w:rPr>
              </m:ctrlPr>
            </m:e>
          </m:func>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default"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6</m:t>
              </m:r>
              <m:ctrlPr>
                <w:rPr>
                  <w:rFonts w:hint="default"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default"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0</m:t>
              </m:r>
              <m:ctrlPr>
                <w:rPr>
                  <w:rFonts w:hint="default"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m:t>
          </m:r>
          <m:sSup>
            <m:sSupPr>
              <m:ctrlPr>
                <w:rPr>
                  <w:rFonts w:hint="default" w:ascii="Cambria Math" w:hAnsi="Cambria Math" w:eastAsia="宋体" w:cs="Times New Roman"/>
                  <w:sz w:val="22"/>
                  <w:szCs w:val="22"/>
                  <w:lang w:eastAsia="zh-CN"/>
                </w:rPr>
              </m:ctrlPr>
            </m:sSupPr>
            <m:e>
              <m:r>
                <m:rPr>
                  <m:sty m:val="p"/>
                </m:rPr>
                <w:rPr>
                  <w:rFonts w:hint="default" w:ascii="Times New Roman" w:hAnsi="Times New Roman" w:eastAsia="宋体" w:cs="Times New Roman"/>
                  <w:sz w:val="22"/>
                  <w:szCs w:val="22"/>
                  <w:lang w:eastAsia="zh-CN"/>
                </w:rPr>
                <m:t>)</m:t>
              </m:r>
              <m:ctrlPr>
                <w:rPr>
                  <w:rFonts w:hint="default" w:ascii="Cambria Math" w:hAnsi="Cambria Math" w:eastAsia="宋体" w:cs="Times New Roman"/>
                  <w:sz w:val="22"/>
                  <w:szCs w:val="22"/>
                  <w:lang w:eastAsia="zh-CN"/>
                </w:rPr>
              </m:ctrlPr>
            </m:e>
            <m:sup>
              <m:r>
                <m:rPr>
                  <m:sty m:val="p"/>
                </m:rPr>
                <w:rPr>
                  <w:rFonts w:hint="default" w:ascii="Times New Roman" w:hAnsi="Times New Roman" w:eastAsia="宋体" w:cs="Times New Roman"/>
                  <w:sz w:val="22"/>
                  <w:szCs w:val="22"/>
                  <w:lang w:eastAsia="zh-CN"/>
                </w:rPr>
                <m:t>6</m:t>
              </m:r>
              <m:ctrlPr>
                <w:rPr>
                  <w:rFonts w:hint="default" w:ascii="Cambria Math" w:hAnsi="Cambria Math" w:eastAsia="宋体" w:cs="Times New Roman"/>
                  <w:sz w:val="22"/>
                  <w:szCs w:val="22"/>
                  <w:lang w:eastAsia="zh-CN"/>
                </w:rPr>
              </m:ctrlPr>
            </m:sup>
          </m:sSup>
        </m:oMath>
      </m:oMathPara>
    </w:p>
    <w:p w14:paraId="4D4FFA6B">
      <w:pPr>
        <w:jc w:val="both"/>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满足全部约束条件。</w:t>
      </w:r>
    </w:p>
    <w:p w14:paraId="27FE464A">
      <w:pPr>
        <w:jc w:val="both"/>
        <w:outlineLvl w:val="1"/>
        <w:rPr>
          <w:rFonts w:hint="default" w:ascii="Times New Roman" w:hAnsi="Times New Roman" w:eastAsia="宋体" w:cs="Times New Roman"/>
          <w:sz w:val="22"/>
          <w:szCs w:val="22"/>
          <w:lang w:val="en-US" w:eastAsia="zh-CN"/>
        </w:rPr>
      </w:pPr>
      <w:bookmarkStart w:id="107" w:name="_Toc27432"/>
      <w:bookmarkStart w:id="108" w:name="_Toc2"/>
      <w:r>
        <w:rPr>
          <w:rFonts w:hint="default" w:ascii="Times New Roman" w:hAnsi="Times New Roman" w:eastAsia="宋体" w:cs="Times New Roman"/>
          <w:sz w:val="22"/>
          <w:szCs w:val="22"/>
          <w:lang w:val="en-US" w:eastAsia="zh-CN"/>
        </w:rPr>
        <w:t>7.3 模型求解方法</w:t>
      </w:r>
      <w:bookmarkEnd w:id="107"/>
      <w:bookmarkEnd w:id="108"/>
    </w:p>
    <w:p w14:paraId="6D17C93C">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决策空间很小：强度最多 3 种取值，频率最多 10 种取值，总组合数不超过 30 种。因此采用穷举法求解，流程如下：</w:t>
      </w:r>
    </w:p>
    <w:p w14:paraId="4F600DE7">
      <w:pPr>
        <w:ind w:firstLine="440" w:firstLineChars="200"/>
        <w:jc w:val="both"/>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1.</w:t>
      </w:r>
      <w:r>
        <w:rPr>
          <w:rFonts w:hint="default" w:ascii="Times New Roman" w:hAnsi="Times New Roman" w:eastAsia="宋体" w:cs="Times New Roman"/>
          <w:sz w:val="22"/>
          <w:szCs w:val="22"/>
          <w:lang w:val="en-US" w:eastAsia="zh-CN"/>
        </w:rPr>
        <w:t>根据患者的年龄组和活动量表总分，计算允许强度集合；</w:t>
      </w:r>
    </w:p>
    <w:p w14:paraId="04C2782C">
      <w:pPr>
        <w:ind w:firstLine="440" w:firstLineChars="200"/>
        <w:jc w:val="both"/>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2.</w:t>
      </w:r>
      <w:r>
        <w:rPr>
          <w:rFonts w:hint="default" w:ascii="Times New Roman" w:hAnsi="Times New Roman" w:eastAsia="宋体" w:cs="Times New Roman"/>
          <w:sz w:val="22"/>
          <w:szCs w:val="22"/>
          <w:lang w:val="en-US" w:eastAsia="zh-CN"/>
        </w:rPr>
        <w:t>遍历所有（强度，频率）组合；</w:t>
      </w:r>
    </w:p>
    <w:p w14:paraId="4269CB93">
      <w:pPr>
        <w:ind w:firstLine="440" w:firstLineChars="200"/>
        <w:jc w:val="both"/>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3.</w:t>
      </w:r>
      <w:r>
        <w:rPr>
          <w:rFonts w:hint="default" w:ascii="Times New Roman" w:hAnsi="Times New Roman" w:eastAsia="宋体" w:cs="Times New Roman"/>
          <w:sz w:val="22"/>
          <w:szCs w:val="22"/>
          <w:lang w:val="en-US" w:eastAsia="zh-CN"/>
        </w:rPr>
        <w:t>对每个组合模拟 6 个月积分变化与成本累积；</w:t>
      </w:r>
    </w:p>
    <w:p w14:paraId="0B8F3522">
      <w:pPr>
        <w:ind w:firstLine="440" w:firstLineChars="200"/>
        <w:jc w:val="both"/>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4.</w:t>
      </w:r>
      <w:r>
        <w:rPr>
          <w:rFonts w:hint="default" w:ascii="Times New Roman" w:hAnsi="Times New Roman" w:eastAsia="宋体" w:cs="Times New Roman"/>
          <w:sz w:val="22"/>
          <w:szCs w:val="22"/>
          <w:lang w:val="en-US" w:eastAsia="zh-CN"/>
        </w:rPr>
        <w:t>筛选总成本≤2000 元的可行方案；</w:t>
      </w:r>
    </w:p>
    <w:p w14:paraId="5198BF12">
      <w:pPr>
        <w:ind w:firstLine="440" w:firstLineChars="200"/>
        <w:jc w:val="both"/>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5.</w:t>
      </w:r>
      <w:r>
        <w:rPr>
          <w:rFonts w:hint="default" w:ascii="Times New Roman" w:hAnsi="Times New Roman" w:eastAsia="宋体" w:cs="Times New Roman"/>
          <w:sz w:val="22"/>
          <w:szCs w:val="22"/>
          <w:lang w:val="en-US" w:eastAsia="zh-CN"/>
        </w:rPr>
        <w:t>在可行方案中选择最终积分最低的方案。</w:t>
      </w:r>
    </w:p>
    <w:p w14:paraId="656AE17E">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穷举法计算成本可忽略，能保证全局最优解，且解释清晰、结果可靠。</w:t>
      </w:r>
    </w:p>
    <w:p w14:paraId="7C2E3A88">
      <w:pPr>
        <w:jc w:val="both"/>
        <w:outlineLvl w:val="1"/>
        <w:rPr>
          <w:rFonts w:hint="default" w:ascii="Times New Roman" w:hAnsi="Times New Roman" w:eastAsia="宋体" w:cs="Times New Roman"/>
          <w:sz w:val="22"/>
          <w:szCs w:val="22"/>
          <w:lang w:val="en-US" w:eastAsia="zh-CN"/>
        </w:rPr>
      </w:pPr>
      <w:bookmarkStart w:id="109" w:name="_Toc24534"/>
      <w:bookmarkStart w:id="110" w:name="_Toc7723"/>
      <w:r>
        <w:rPr>
          <w:rFonts w:hint="default" w:ascii="Times New Roman" w:hAnsi="Times New Roman" w:eastAsia="宋体" w:cs="Times New Roman"/>
          <w:sz w:val="22"/>
          <w:szCs w:val="22"/>
          <w:lang w:val="en-US" w:eastAsia="zh-CN"/>
        </w:rPr>
        <w:t>7.4 典型样本最优干预方案（ID=1、2、3）</w:t>
      </w:r>
      <w:bookmarkEnd w:id="109"/>
      <w:bookmarkEnd w:id="110"/>
    </w:p>
    <w:p w14:paraId="7339ED4D">
      <w:pPr>
        <w:jc w:val="both"/>
        <w:outlineLvl w:val="2"/>
        <w:rPr>
          <w:rFonts w:hint="default" w:ascii="Times New Roman" w:hAnsi="Times New Roman" w:eastAsia="宋体" w:cs="Times New Roman"/>
          <w:sz w:val="22"/>
          <w:szCs w:val="22"/>
          <w:lang w:val="en-US" w:eastAsia="zh-CN"/>
        </w:rPr>
      </w:pPr>
      <w:bookmarkStart w:id="111" w:name="_Toc30053"/>
      <w:bookmarkStart w:id="112" w:name="_Toc13934"/>
      <w:r>
        <w:rPr>
          <w:rFonts w:hint="default" w:ascii="Times New Roman" w:hAnsi="Times New Roman" w:eastAsia="宋体" w:cs="Times New Roman"/>
          <w:sz w:val="22"/>
          <w:szCs w:val="22"/>
          <w:lang w:val="en-US" w:eastAsia="zh-CN"/>
        </w:rPr>
        <w:t>7.4.1 样本ID=1</w:t>
      </w:r>
      <w:bookmarkEnd w:id="111"/>
      <w:bookmarkEnd w:id="112"/>
    </w:p>
    <w:p w14:paraId="434D2EE1">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患者特征</w:t>
      </w:r>
    </w:p>
    <w:p w14:paraId="669D5150">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初始痰湿积分：64.0</w:t>
      </w:r>
    </w:p>
    <w:p w14:paraId="3CEC5C59">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年龄组：50–59岁</w:t>
      </w:r>
    </w:p>
    <w:p w14:paraId="16E9A00F">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活动量表总分：38.0</w:t>
      </w:r>
    </w:p>
    <w:p w14:paraId="443B699F">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允许强度：仅1级</w:t>
      </w:r>
    </w:p>
    <w:p w14:paraId="49FE5DCF">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最优方案：强度1级+频率10次/周</w:t>
      </w:r>
    </w:p>
    <w:p w14:paraId="6DB261FF">
      <w:pPr>
        <w:ind w:firstLine="440" w:firstLineChars="200"/>
        <w:jc w:val="both"/>
        <w:rPr>
          <w:rFonts w:hint="default" w:ascii="Times New Roman" w:hAnsi="Times New Roman" w:eastAsia="宋体" w:cs="Times New Roman"/>
          <w:sz w:val="22"/>
          <w:szCs w:val="22"/>
          <w:lang w:val="en-US" w:eastAsia="zh-CN"/>
        </w:rPr>
      </w:pPr>
    </w:p>
    <w:p w14:paraId="55E45940">
      <w:pPr>
        <w:jc w:val="both"/>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表</w:t>
      </w:r>
      <w:r>
        <w:rPr>
          <w:rFonts w:hint="eastAsia" w:ascii="Times New Roman" w:hAnsi="Times New Roman" w:eastAsia="宋体" w:cs="Times New Roman"/>
          <w:sz w:val="20"/>
          <w:szCs w:val="20"/>
          <w:lang w:val="en-US" w:eastAsia="zh-CN"/>
        </w:rPr>
        <w:t>17</w:t>
      </w:r>
      <w:r>
        <w:rPr>
          <w:rFonts w:hint="default" w:ascii="Times New Roman" w:hAnsi="Times New Roman" w:eastAsia="宋体" w:cs="Times New Roman"/>
          <w:sz w:val="20"/>
          <w:szCs w:val="20"/>
          <w:lang w:val="en-US" w:eastAsia="zh-CN"/>
        </w:rPr>
        <w:t xml:space="preserve"> 样本ID=1六个月干预详情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60"/>
        <w:gridCol w:w="1161"/>
        <w:gridCol w:w="1161"/>
        <w:gridCol w:w="1161"/>
        <w:gridCol w:w="1161"/>
        <w:gridCol w:w="1161"/>
        <w:gridCol w:w="1161"/>
      </w:tblGrid>
      <w:tr w14:paraId="3C03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6C41BAC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月份</w:t>
            </w:r>
          </w:p>
        </w:tc>
        <w:tc>
          <w:tcPr>
            <w:tcW w:w="1160" w:type="dxa"/>
            <w:tcBorders>
              <w:top w:val="single" w:color="000000" w:sz="12" w:space="0"/>
              <w:left w:val="nil"/>
              <w:bottom w:val="single" w:color="000000" w:sz="4" w:space="0"/>
              <w:right w:val="nil"/>
            </w:tcBorders>
            <w:shd w:val="clear" w:color="auto" w:fill="FFFFFF"/>
            <w:vAlign w:val="center"/>
          </w:tcPr>
          <w:p w14:paraId="76BFBBA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月初积分</w:t>
            </w:r>
          </w:p>
        </w:tc>
        <w:tc>
          <w:tcPr>
            <w:tcW w:w="1161" w:type="dxa"/>
            <w:tcBorders>
              <w:top w:val="single" w:color="000000" w:sz="12" w:space="0"/>
              <w:left w:val="nil"/>
              <w:bottom w:val="single" w:color="000000" w:sz="4" w:space="0"/>
              <w:right w:val="nil"/>
            </w:tcBorders>
            <w:shd w:val="clear" w:color="auto" w:fill="FFFFFF"/>
            <w:vAlign w:val="center"/>
          </w:tcPr>
          <w:p w14:paraId="6E1B71D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TCM 分级</w:t>
            </w:r>
          </w:p>
        </w:tc>
        <w:tc>
          <w:tcPr>
            <w:tcW w:w="1161" w:type="dxa"/>
            <w:tcBorders>
              <w:top w:val="single" w:color="000000" w:sz="12" w:space="0"/>
              <w:left w:val="nil"/>
              <w:bottom w:val="single" w:color="000000" w:sz="4" w:space="0"/>
              <w:right w:val="nil"/>
            </w:tcBorders>
            <w:shd w:val="clear" w:color="auto" w:fill="FFFFFF"/>
            <w:vAlign w:val="center"/>
          </w:tcPr>
          <w:p w14:paraId="69058AE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强度</w:t>
            </w:r>
          </w:p>
        </w:tc>
        <w:tc>
          <w:tcPr>
            <w:tcW w:w="1161" w:type="dxa"/>
            <w:tcBorders>
              <w:top w:val="single" w:color="000000" w:sz="12" w:space="0"/>
              <w:left w:val="nil"/>
              <w:bottom w:val="single" w:color="000000" w:sz="4" w:space="0"/>
              <w:right w:val="nil"/>
            </w:tcBorders>
            <w:shd w:val="clear" w:color="auto" w:fill="FFFFFF"/>
            <w:vAlign w:val="center"/>
          </w:tcPr>
          <w:p w14:paraId="470628C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频率</w:t>
            </w:r>
          </w:p>
        </w:tc>
        <w:tc>
          <w:tcPr>
            <w:tcW w:w="1161" w:type="dxa"/>
            <w:tcBorders>
              <w:top w:val="single" w:color="000000" w:sz="12" w:space="0"/>
              <w:left w:val="nil"/>
              <w:bottom w:val="single" w:color="000000" w:sz="4" w:space="0"/>
              <w:right w:val="nil"/>
            </w:tcBorders>
            <w:shd w:val="clear" w:color="auto" w:fill="FFFFFF"/>
            <w:vAlign w:val="center"/>
          </w:tcPr>
          <w:p w14:paraId="4755300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下降率</w:t>
            </w:r>
          </w:p>
        </w:tc>
        <w:tc>
          <w:tcPr>
            <w:tcW w:w="1161" w:type="dxa"/>
            <w:tcBorders>
              <w:top w:val="single" w:color="000000" w:sz="12" w:space="0"/>
              <w:left w:val="nil"/>
              <w:bottom w:val="single" w:color="000000" w:sz="4" w:space="0"/>
              <w:right w:val="nil"/>
            </w:tcBorders>
            <w:shd w:val="clear" w:color="auto" w:fill="FFFFFF"/>
            <w:vAlign w:val="center"/>
          </w:tcPr>
          <w:p w14:paraId="04A06B0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月末积分</w:t>
            </w:r>
          </w:p>
        </w:tc>
        <w:tc>
          <w:tcPr>
            <w:tcW w:w="1161" w:type="dxa"/>
            <w:tcBorders>
              <w:top w:val="single" w:color="000000" w:sz="12" w:space="0"/>
              <w:left w:val="nil"/>
              <w:bottom w:val="single" w:color="000000" w:sz="4" w:space="0"/>
              <w:right w:val="nil"/>
            </w:tcBorders>
            <w:shd w:val="clear" w:color="auto" w:fill="FFFFFF"/>
            <w:vAlign w:val="center"/>
          </w:tcPr>
          <w:p w14:paraId="137F20A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月成本（元）</w:t>
            </w:r>
          </w:p>
        </w:tc>
      </w:tr>
      <w:tr w14:paraId="1724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4" w:space="0"/>
              <w:left w:val="nil"/>
              <w:bottom w:val="nil"/>
              <w:right w:val="nil"/>
            </w:tcBorders>
            <w:shd w:val="clear" w:color="auto" w:fill="FFFFFF"/>
            <w:vAlign w:val="center"/>
          </w:tcPr>
          <w:p w14:paraId="0AA0A50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0" w:type="dxa"/>
            <w:tcBorders>
              <w:top w:val="single" w:color="000000" w:sz="4" w:space="0"/>
              <w:left w:val="nil"/>
              <w:bottom w:val="nil"/>
              <w:right w:val="nil"/>
            </w:tcBorders>
            <w:shd w:val="clear" w:color="auto" w:fill="FFFFFF"/>
            <w:vAlign w:val="center"/>
          </w:tcPr>
          <w:p w14:paraId="2EB0F53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64</w:t>
            </w:r>
          </w:p>
        </w:tc>
        <w:tc>
          <w:tcPr>
            <w:tcW w:w="1161" w:type="dxa"/>
            <w:tcBorders>
              <w:top w:val="single" w:color="000000" w:sz="4" w:space="0"/>
              <w:left w:val="nil"/>
              <w:bottom w:val="nil"/>
              <w:right w:val="nil"/>
            </w:tcBorders>
            <w:shd w:val="clear" w:color="auto" w:fill="FFFFFF"/>
            <w:vAlign w:val="center"/>
          </w:tcPr>
          <w:p w14:paraId="4D597F7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161" w:type="dxa"/>
            <w:tcBorders>
              <w:top w:val="single" w:color="000000" w:sz="4" w:space="0"/>
              <w:left w:val="nil"/>
              <w:bottom w:val="nil"/>
              <w:right w:val="nil"/>
            </w:tcBorders>
            <w:shd w:val="clear" w:color="auto" w:fill="FFFFFF"/>
            <w:vAlign w:val="center"/>
          </w:tcPr>
          <w:p w14:paraId="7896A6D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single" w:color="000000" w:sz="4" w:space="0"/>
              <w:left w:val="nil"/>
              <w:bottom w:val="nil"/>
              <w:right w:val="nil"/>
            </w:tcBorders>
            <w:shd w:val="clear" w:color="auto" w:fill="FFFFFF"/>
            <w:vAlign w:val="center"/>
          </w:tcPr>
          <w:p w14:paraId="5228F2A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single" w:color="000000" w:sz="4" w:space="0"/>
              <w:left w:val="nil"/>
              <w:bottom w:val="nil"/>
              <w:right w:val="nil"/>
            </w:tcBorders>
            <w:shd w:val="clear" w:color="auto" w:fill="FFFFFF"/>
            <w:vAlign w:val="center"/>
          </w:tcPr>
          <w:p w14:paraId="34974C1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single" w:color="000000" w:sz="4" w:space="0"/>
              <w:left w:val="nil"/>
              <w:bottom w:val="nil"/>
              <w:right w:val="nil"/>
            </w:tcBorders>
            <w:shd w:val="clear" w:color="auto" w:fill="FFFFFF"/>
            <w:vAlign w:val="center"/>
          </w:tcPr>
          <w:p w14:paraId="570526F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58.88</w:t>
            </w:r>
          </w:p>
        </w:tc>
        <w:tc>
          <w:tcPr>
            <w:tcW w:w="1161" w:type="dxa"/>
            <w:tcBorders>
              <w:top w:val="single" w:color="000000" w:sz="4" w:space="0"/>
              <w:left w:val="nil"/>
              <w:bottom w:val="nil"/>
              <w:right w:val="nil"/>
            </w:tcBorders>
            <w:shd w:val="clear" w:color="auto" w:fill="FFFFFF"/>
            <w:vAlign w:val="center"/>
          </w:tcPr>
          <w:p w14:paraId="1B3B2ACE">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250</w:t>
            </w:r>
          </w:p>
        </w:tc>
      </w:tr>
      <w:tr w14:paraId="49F5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1C5B10C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1160" w:type="dxa"/>
            <w:tcBorders>
              <w:top w:val="nil"/>
              <w:left w:val="nil"/>
              <w:bottom w:val="nil"/>
              <w:right w:val="nil"/>
            </w:tcBorders>
            <w:shd w:val="clear" w:color="auto" w:fill="FFFFFF"/>
            <w:vAlign w:val="center"/>
          </w:tcPr>
          <w:p w14:paraId="0FEEE44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58.88</w:t>
            </w:r>
          </w:p>
        </w:tc>
        <w:tc>
          <w:tcPr>
            <w:tcW w:w="1161" w:type="dxa"/>
            <w:tcBorders>
              <w:top w:val="nil"/>
              <w:left w:val="nil"/>
              <w:bottom w:val="nil"/>
              <w:right w:val="nil"/>
            </w:tcBorders>
            <w:shd w:val="clear" w:color="auto" w:fill="FFFFFF"/>
            <w:vAlign w:val="center"/>
          </w:tcPr>
          <w:p w14:paraId="162A507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03EFD46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ACB602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16A82BF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3FF0757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54.17</w:t>
            </w:r>
          </w:p>
        </w:tc>
        <w:tc>
          <w:tcPr>
            <w:tcW w:w="1161" w:type="dxa"/>
            <w:tcBorders>
              <w:top w:val="nil"/>
              <w:left w:val="nil"/>
              <w:bottom w:val="nil"/>
              <w:right w:val="nil"/>
            </w:tcBorders>
            <w:shd w:val="clear" w:color="auto" w:fill="FFFFFF"/>
            <w:vAlign w:val="center"/>
          </w:tcPr>
          <w:p w14:paraId="6FAFB8B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6A9E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375B441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160" w:type="dxa"/>
            <w:tcBorders>
              <w:top w:val="nil"/>
              <w:left w:val="nil"/>
              <w:bottom w:val="nil"/>
              <w:right w:val="nil"/>
            </w:tcBorders>
            <w:shd w:val="clear" w:color="auto" w:fill="FFFFFF"/>
            <w:vAlign w:val="center"/>
          </w:tcPr>
          <w:p w14:paraId="1391C68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54.17</w:t>
            </w:r>
          </w:p>
        </w:tc>
        <w:tc>
          <w:tcPr>
            <w:tcW w:w="1161" w:type="dxa"/>
            <w:tcBorders>
              <w:top w:val="nil"/>
              <w:left w:val="nil"/>
              <w:bottom w:val="nil"/>
              <w:right w:val="nil"/>
            </w:tcBorders>
            <w:shd w:val="clear" w:color="auto" w:fill="FFFFFF"/>
            <w:vAlign w:val="center"/>
          </w:tcPr>
          <w:p w14:paraId="2508079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309067D0">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CAF466E">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3C0C03D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7CF7F75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49.84</w:t>
            </w:r>
          </w:p>
        </w:tc>
        <w:tc>
          <w:tcPr>
            <w:tcW w:w="1161" w:type="dxa"/>
            <w:tcBorders>
              <w:top w:val="nil"/>
              <w:left w:val="nil"/>
              <w:bottom w:val="nil"/>
              <w:right w:val="nil"/>
            </w:tcBorders>
            <w:shd w:val="clear" w:color="auto" w:fill="FFFFFF"/>
            <w:vAlign w:val="center"/>
          </w:tcPr>
          <w:p w14:paraId="7495D44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39AC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039DA76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w:t>
            </w:r>
          </w:p>
        </w:tc>
        <w:tc>
          <w:tcPr>
            <w:tcW w:w="1160" w:type="dxa"/>
            <w:tcBorders>
              <w:top w:val="nil"/>
              <w:left w:val="nil"/>
              <w:bottom w:val="nil"/>
              <w:right w:val="nil"/>
            </w:tcBorders>
            <w:shd w:val="clear" w:color="auto" w:fill="FFFFFF"/>
            <w:vAlign w:val="center"/>
          </w:tcPr>
          <w:p w14:paraId="6607434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49.84</w:t>
            </w:r>
          </w:p>
        </w:tc>
        <w:tc>
          <w:tcPr>
            <w:tcW w:w="1161" w:type="dxa"/>
            <w:tcBorders>
              <w:top w:val="nil"/>
              <w:left w:val="nil"/>
              <w:bottom w:val="nil"/>
              <w:right w:val="nil"/>
            </w:tcBorders>
            <w:shd w:val="clear" w:color="auto" w:fill="FFFFFF"/>
            <w:vAlign w:val="center"/>
          </w:tcPr>
          <w:p w14:paraId="1F13A8A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6F5F40B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20FE253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45EEAC1E">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748E789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45.85</w:t>
            </w:r>
          </w:p>
        </w:tc>
        <w:tc>
          <w:tcPr>
            <w:tcW w:w="1161" w:type="dxa"/>
            <w:tcBorders>
              <w:top w:val="nil"/>
              <w:left w:val="nil"/>
              <w:bottom w:val="nil"/>
              <w:right w:val="nil"/>
            </w:tcBorders>
            <w:shd w:val="clear" w:color="auto" w:fill="FFFFFF"/>
            <w:vAlign w:val="center"/>
          </w:tcPr>
          <w:p w14:paraId="23DFB92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08DA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4C9E388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w:t>
            </w:r>
          </w:p>
        </w:tc>
        <w:tc>
          <w:tcPr>
            <w:tcW w:w="1160" w:type="dxa"/>
            <w:tcBorders>
              <w:top w:val="nil"/>
              <w:left w:val="nil"/>
              <w:bottom w:val="nil"/>
              <w:right w:val="nil"/>
            </w:tcBorders>
            <w:shd w:val="clear" w:color="auto" w:fill="FFFFFF"/>
            <w:vAlign w:val="center"/>
          </w:tcPr>
          <w:p w14:paraId="00DF7C9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45.85</w:t>
            </w:r>
          </w:p>
        </w:tc>
        <w:tc>
          <w:tcPr>
            <w:tcW w:w="1161" w:type="dxa"/>
            <w:tcBorders>
              <w:top w:val="nil"/>
              <w:left w:val="nil"/>
              <w:bottom w:val="nil"/>
              <w:right w:val="nil"/>
            </w:tcBorders>
            <w:shd w:val="clear" w:color="auto" w:fill="FFFFFF"/>
            <w:vAlign w:val="center"/>
          </w:tcPr>
          <w:p w14:paraId="5AF509E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607EDD8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CAE504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30F64FE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460AA54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42.18</w:t>
            </w:r>
          </w:p>
        </w:tc>
        <w:tc>
          <w:tcPr>
            <w:tcW w:w="1161" w:type="dxa"/>
            <w:tcBorders>
              <w:top w:val="nil"/>
              <w:left w:val="nil"/>
              <w:bottom w:val="nil"/>
              <w:right w:val="nil"/>
            </w:tcBorders>
            <w:shd w:val="clear" w:color="auto" w:fill="FFFFFF"/>
            <w:vAlign w:val="center"/>
          </w:tcPr>
          <w:p w14:paraId="110E3E4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1CF6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single" w:color="000000" w:sz="12" w:space="0"/>
              <w:right w:val="nil"/>
            </w:tcBorders>
            <w:shd w:val="clear" w:color="auto" w:fill="FFFFFF"/>
            <w:vAlign w:val="center"/>
          </w:tcPr>
          <w:p w14:paraId="366CC62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w:t>
            </w:r>
          </w:p>
        </w:tc>
        <w:tc>
          <w:tcPr>
            <w:tcW w:w="1160" w:type="dxa"/>
            <w:tcBorders>
              <w:top w:val="nil"/>
              <w:left w:val="nil"/>
              <w:bottom w:val="single" w:color="000000" w:sz="12" w:space="0"/>
              <w:right w:val="nil"/>
            </w:tcBorders>
            <w:shd w:val="clear" w:color="auto" w:fill="FFFFFF"/>
            <w:vAlign w:val="center"/>
          </w:tcPr>
          <w:p w14:paraId="6F0B233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42.18</w:t>
            </w:r>
          </w:p>
        </w:tc>
        <w:tc>
          <w:tcPr>
            <w:tcW w:w="1161" w:type="dxa"/>
            <w:tcBorders>
              <w:top w:val="nil"/>
              <w:left w:val="nil"/>
              <w:bottom w:val="single" w:color="000000" w:sz="12" w:space="0"/>
              <w:right w:val="nil"/>
            </w:tcBorders>
            <w:shd w:val="clear" w:color="auto" w:fill="FFFFFF"/>
            <w:vAlign w:val="center"/>
          </w:tcPr>
          <w:p w14:paraId="2A5EC1D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single" w:color="000000" w:sz="12" w:space="0"/>
              <w:right w:val="nil"/>
            </w:tcBorders>
            <w:shd w:val="clear" w:color="auto" w:fill="FFFFFF"/>
            <w:vAlign w:val="center"/>
          </w:tcPr>
          <w:p w14:paraId="750B2CB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single" w:color="000000" w:sz="12" w:space="0"/>
              <w:right w:val="nil"/>
            </w:tcBorders>
            <w:shd w:val="clear" w:color="auto" w:fill="FFFFFF"/>
            <w:vAlign w:val="center"/>
          </w:tcPr>
          <w:p w14:paraId="3653792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single" w:color="000000" w:sz="12" w:space="0"/>
              <w:right w:val="nil"/>
            </w:tcBorders>
            <w:shd w:val="clear" w:color="auto" w:fill="FFFFFF"/>
            <w:vAlign w:val="center"/>
          </w:tcPr>
          <w:p w14:paraId="6E784CA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single" w:color="000000" w:sz="12" w:space="0"/>
              <w:right w:val="nil"/>
            </w:tcBorders>
            <w:shd w:val="clear" w:color="auto" w:fill="FFFFFF"/>
            <w:vAlign w:val="center"/>
          </w:tcPr>
          <w:p w14:paraId="0A58CBA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38.81</w:t>
            </w:r>
          </w:p>
        </w:tc>
        <w:tc>
          <w:tcPr>
            <w:tcW w:w="1161" w:type="dxa"/>
            <w:tcBorders>
              <w:top w:val="nil"/>
              <w:left w:val="nil"/>
              <w:bottom w:val="single" w:color="000000" w:sz="12" w:space="0"/>
              <w:right w:val="nil"/>
            </w:tcBorders>
            <w:shd w:val="clear" w:color="auto" w:fill="FFFFFF"/>
            <w:vAlign w:val="center"/>
          </w:tcPr>
          <w:p w14:paraId="30DA4CF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bl>
    <w:p w14:paraId="324DD44C">
      <w:pPr>
        <w:numPr>
          <w:ilvl w:val="0"/>
          <w:numId w:val="0"/>
        </w:numPr>
        <w:jc w:val="both"/>
        <w:rPr>
          <w:rFonts w:hint="default" w:hAnsi="Cambria Math"/>
          <w:i w:val="0"/>
          <w:sz w:val="24"/>
          <w:lang w:val="en-US" w:eastAsia="zh-CN"/>
        </w:rPr>
      </w:pPr>
      <w:r>
        <w:rPr>
          <w:rFonts w:hint="default" w:hAnsi="Cambria Math"/>
          <w:i w:val="0"/>
          <w:sz w:val="24"/>
          <w:lang w:val="en-US" w:eastAsia="zh-CN"/>
        </w:rPr>
        <w:t>结果</w:t>
      </w:r>
    </w:p>
    <w:p w14:paraId="4D303F41">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最终积分：38.81，下降25.19（39.4%），总成本：1000元。</w:t>
      </w:r>
    </w:p>
    <w:p w14:paraId="68546F0A">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解读：样本1因活动量表总分&lt; 40被限制在1级强度。1级强度下频率拉满到10次/周，月成本低，6个月总成本远低于预算，说明低强度+高频次是经济高效策略。</w:t>
      </w:r>
    </w:p>
    <w:p w14:paraId="37C0F32C">
      <w:pPr>
        <w:numPr>
          <w:ilvl w:val="0"/>
          <w:numId w:val="0"/>
        </w:numPr>
        <w:ind w:left="0" w:leftChars="0" w:firstLine="0" w:firstLineChars="0"/>
        <w:jc w:val="both"/>
        <w:outlineLvl w:val="2"/>
        <w:rPr>
          <w:rFonts w:hint="default" w:hAnsi="Cambria Math"/>
          <w:i w:val="0"/>
          <w:sz w:val="24"/>
          <w:lang w:val="en-US" w:eastAsia="zh-CN"/>
        </w:rPr>
      </w:pPr>
      <w:bookmarkStart w:id="113" w:name="_Toc21422"/>
      <w:bookmarkStart w:id="114" w:name="_Toc22282"/>
      <w:r>
        <w:rPr>
          <w:rFonts w:hint="default" w:hAnsi="Cambria Math"/>
          <w:i w:val="0"/>
          <w:sz w:val="24"/>
          <w:lang w:val="en-US" w:eastAsia="zh-CN"/>
        </w:rPr>
        <w:t>7.4.2 样本 ID=2</w:t>
      </w:r>
      <w:bookmarkEnd w:id="113"/>
      <w:bookmarkEnd w:id="114"/>
    </w:p>
    <w:p w14:paraId="794D3B9D">
      <w:pPr>
        <w:numPr>
          <w:ilvl w:val="0"/>
          <w:numId w:val="0"/>
        </w:numPr>
        <w:jc w:val="both"/>
        <w:rPr>
          <w:rFonts w:hint="default" w:hAnsi="Cambria Math"/>
          <w:i w:val="0"/>
          <w:sz w:val="24"/>
          <w:lang w:val="en-US" w:eastAsia="zh-CN"/>
        </w:rPr>
      </w:pPr>
      <w:r>
        <w:rPr>
          <w:rFonts w:hint="default" w:hAnsi="Cambria Math"/>
          <w:i w:val="0"/>
          <w:sz w:val="24"/>
          <w:lang w:val="en-US" w:eastAsia="zh-CN"/>
        </w:rPr>
        <w:t>患者特征</w:t>
      </w:r>
    </w:p>
    <w:p w14:paraId="12080015">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初始痰湿积分：58.0</w:t>
      </w:r>
    </w:p>
    <w:p w14:paraId="00667388">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年龄组：40–49岁</w:t>
      </w:r>
    </w:p>
    <w:p w14:paraId="15E6C2B1">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活动量表总分：40.0</w:t>
      </w:r>
    </w:p>
    <w:p w14:paraId="031E7110">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允许强度：1、2级</w:t>
      </w:r>
    </w:p>
    <w:p w14:paraId="242638D7">
      <w:pPr>
        <w:numPr>
          <w:ilvl w:val="0"/>
          <w:numId w:val="0"/>
        </w:numPr>
        <w:jc w:val="both"/>
        <w:rPr>
          <w:rFonts w:hint="default" w:hAnsi="Cambria Math"/>
          <w:i w:val="0"/>
          <w:sz w:val="24"/>
          <w:lang w:val="en-US" w:eastAsia="zh-CN"/>
        </w:rPr>
      </w:pPr>
      <w:r>
        <w:rPr>
          <w:rFonts w:hint="default" w:hAnsi="Cambria Math"/>
          <w:i w:val="0"/>
          <w:sz w:val="24"/>
          <w:lang w:val="en-US" w:eastAsia="zh-CN"/>
        </w:rPr>
        <w:t>最优方案：强度2级+频率10次/周</w:t>
      </w:r>
    </w:p>
    <w:p w14:paraId="5A9F7631">
      <w:pPr>
        <w:jc w:val="both"/>
        <w:rPr>
          <w:rFonts w:hint="default" w:ascii="Times New Roman" w:hAnsi="Times New Roman" w:eastAsia="宋体" w:cs="Times New Roman"/>
          <w:sz w:val="20"/>
          <w:szCs w:val="20"/>
          <w:lang w:val="en-US" w:eastAsia="zh-CN"/>
        </w:rPr>
      </w:pPr>
      <w:r>
        <w:rPr>
          <w:rFonts w:hint="eastAsia" w:cs="Times New Roman"/>
          <w:sz w:val="20"/>
          <w:szCs w:val="20"/>
          <w:lang w:val="en-US" w:eastAsia="zh-CN"/>
        </w:rPr>
        <w:t>表18</w:t>
      </w:r>
      <w:r>
        <w:rPr>
          <w:rFonts w:hint="default" w:ascii="Times New Roman" w:hAnsi="Times New Roman" w:eastAsia="宋体" w:cs="Times New Roman"/>
          <w:sz w:val="20"/>
          <w:szCs w:val="20"/>
          <w:lang w:val="en-US" w:eastAsia="zh-CN"/>
        </w:rPr>
        <w:t xml:space="preserve"> 样本 ID=2 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60"/>
        <w:gridCol w:w="1161"/>
        <w:gridCol w:w="1161"/>
        <w:gridCol w:w="1161"/>
        <w:gridCol w:w="1161"/>
        <w:gridCol w:w="1161"/>
        <w:gridCol w:w="1161"/>
      </w:tblGrid>
      <w:tr w14:paraId="43A4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727CD9C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月份</w:t>
            </w:r>
          </w:p>
        </w:tc>
        <w:tc>
          <w:tcPr>
            <w:tcW w:w="1160" w:type="dxa"/>
            <w:tcBorders>
              <w:top w:val="single" w:color="000000" w:sz="12" w:space="0"/>
              <w:left w:val="nil"/>
              <w:bottom w:val="single" w:color="000000" w:sz="4" w:space="0"/>
              <w:right w:val="nil"/>
            </w:tcBorders>
            <w:shd w:val="clear" w:color="auto" w:fill="FFFFFF"/>
            <w:vAlign w:val="center"/>
          </w:tcPr>
          <w:p w14:paraId="1DBE309A">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月初积分</w:t>
            </w:r>
          </w:p>
        </w:tc>
        <w:tc>
          <w:tcPr>
            <w:tcW w:w="1161" w:type="dxa"/>
            <w:tcBorders>
              <w:top w:val="single" w:color="000000" w:sz="12" w:space="0"/>
              <w:left w:val="nil"/>
              <w:bottom w:val="single" w:color="000000" w:sz="4" w:space="0"/>
              <w:right w:val="nil"/>
            </w:tcBorders>
            <w:shd w:val="clear" w:color="auto" w:fill="FFFFFF"/>
            <w:vAlign w:val="center"/>
          </w:tcPr>
          <w:p w14:paraId="2F99BB18">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TCM 分级</w:t>
            </w:r>
          </w:p>
        </w:tc>
        <w:tc>
          <w:tcPr>
            <w:tcW w:w="1161" w:type="dxa"/>
            <w:tcBorders>
              <w:top w:val="single" w:color="000000" w:sz="12" w:space="0"/>
              <w:left w:val="nil"/>
              <w:bottom w:val="single" w:color="000000" w:sz="4" w:space="0"/>
              <w:right w:val="nil"/>
            </w:tcBorders>
            <w:shd w:val="clear" w:color="auto" w:fill="FFFFFF"/>
            <w:vAlign w:val="center"/>
          </w:tcPr>
          <w:p w14:paraId="51178EBF">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强度</w:t>
            </w:r>
          </w:p>
        </w:tc>
        <w:tc>
          <w:tcPr>
            <w:tcW w:w="1161" w:type="dxa"/>
            <w:tcBorders>
              <w:top w:val="single" w:color="000000" w:sz="12" w:space="0"/>
              <w:left w:val="nil"/>
              <w:bottom w:val="single" w:color="000000" w:sz="4" w:space="0"/>
              <w:right w:val="nil"/>
            </w:tcBorders>
            <w:shd w:val="clear" w:color="auto" w:fill="FFFFFF"/>
            <w:vAlign w:val="center"/>
          </w:tcPr>
          <w:p w14:paraId="01F37319">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频率</w:t>
            </w:r>
          </w:p>
        </w:tc>
        <w:tc>
          <w:tcPr>
            <w:tcW w:w="1161" w:type="dxa"/>
            <w:tcBorders>
              <w:top w:val="single" w:color="000000" w:sz="12" w:space="0"/>
              <w:left w:val="nil"/>
              <w:bottom w:val="single" w:color="000000" w:sz="4" w:space="0"/>
              <w:right w:val="nil"/>
            </w:tcBorders>
            <w:shd w:val="clear" w:color="auto" w:fill="FFFFFF"/>
            <w:vAlign w:val="center"/>
          </w:tcPr>
          <w:p w14:paraId="6C0A0B89">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下降率</w:t>
            </w:r>
          </w:p>
        </w:tc>
        <w:tc>
          <w:tcPr>
            <w:tcW w:w="1161" w:type="dxa"/>
            <w:tcBorders>
              <w:top w:val="single" w:color="000000" w:sz="12" w:space="0"/>
              <w:left w:val="nil"/>
              <w:bottom w:val="single" w:color="000000" w:sz="4" w:space="0"/>
              <w:right w:val="nil"/>
            </w:tcBorders>
            <w:shd w:val="clear" w:color="auto" w:fill="FFFFFF"/>
            <w:vAlign w:val="center"/>
          </w:tcPr>
          <w:p w14:paraId="73DE0CAE">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月末积分</w:t>
            </w:r>
          </w:p>
        </w:tc>
        <w:tc>
          <w:tcPr>
            <w:tcW w:w="1161" w:type="dxa"/>
            <w:tcBorders>
              <w:top w:val="single" w:color="000000" w:sz="12" w:space="0"/>
              <w:left w:val="nil"/>
              <w:bottom w:val="single" w:color="000000" w:sz="4" w:space="0"/>
              <w:right w:val="nil"/>
            </w:tcBorders>
            <w:shd w:val="clear" w:color="auto" w:fill="FFFFFF"/>
            <w:vAlign w:val="center"/>
          </w:tcPr>
          <w:p w14:paraId="41965E91">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月成本（元）</w:t>
            </w:r>
          </w:p>
        </w:tc>
      </w:tr>
      <w:tr w14:paraId="5C48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4" w:space="0"/>
              <w:left w:val="nil"/>
              <w:bottom w:val="nil"/>
              <w:right w:val="nil"/>
            </w:tcBorders>
            <w:shd w:val="clear" w:color="auto" w:fill="FFFFFF"/>
            <w:vAlign w:val="center"/>
          </w:tcPr>
          <w:p w14:paraId="53DD9972">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0" w:type="dxa"/>
            <w:tcBorders>
              <w:top w:val="single" w:color="000000" w:sz="4" w:space="0"/>
              <w:left w:val="nil"/>
              <w:bottom w:val="nil"/>
              <w:right w:val="nil"/>
            </w:tcBorders>
            <w:shd w:val="clear" w:color="auto" w:fill="FFFFFF"/>
            <w:vAlign w:val="center"/>
          </w:tcPr>
          <w:p w14:paraId="7F63886A">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58</w:t>
            </w:r>
          </w:p>
        </w:tc>
        <w:tc>
          <w:tcPr>
            <w:tcW w:w="1161" w:type="dxa"/>
            <w:tcBorders>
              <w:top w:val="single" w:color="000000" w:sz="4" w:space="0"/>
              <w:left w:val="nil"/>
              <w:bottom w:val="nil"/>
              <w:right w:val="nil"/>
            </w:tcBorders>
            <w:shd w:val="clear" w:color="auto" w:fill="FFFFFF"/>
            <w:vAlign w:val="center"/>
          </w:tcPr>
          <w:p w14:paraId="43B65F09">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single" w:color="000000" w:sz="4" w:space="0"/>
              <w:left w:val="nil"/>
              <w:bottom w:val="nil"/>
              <w:right w:val="nil"/>
            </w:tcBorders>
            <w:shd w:val="clear" w:color="auto" w:fill="FFFFFF"/>
            <w:vAlign w:val="center"/>
          </w:tcPr>
          <w:p w14:paraId="44651A4B">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single" w:color="000000" w:sz="4" w:space="0"/>
              <w:left w:val="nil"/>
              <w:bottom w:val="nil"/>
              <w:right w:val="nil"/>
            </w:tcBorders>
            <w:shd w:val="clear" w:color="auto" w:fill="FFFFFF"/>
            <w:vAlign w:val="center"/>
          </w:tcPr>
          <w:p w14:paraId="6CFE7BFD">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single" w:color="000000" w:sz="4" w:space="0"/>
              <w:left w:val="nil"/>
              <w:bottom w:val="nil"/>
              <w:right w:val="nil"/>
            </w:tcBorders>
            <w:shd w:val="clear" w:color="auto" w:fill="FFFFFF"/>
            <w:vAlign w:val="center"/>
          </w:tcPr>
          <w:p w14:paraId="65F8A0E3">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single" w:color="000000" w:sz="4" w:space="0"/>
              <w:left w:val="nil"/>
              <w:bottom w:val="nil"/>
              <w:right w:val="nil"/>
            </w:tcBorders>
            <w:shd w:val="clear" w:color="auto" w:fill="FFFFFF"/>
            <w:vAlign w:val="center"/>
          </w:tcPr>
          <w:p w14:paraId="6514A330">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51.62</w:t>
            </w:r>
          </w:p>
        </w:tc>
        <w:tc>
          <w:tcPr>
            <w:tcW w:w="1161" w:type="dxa"/>
            <w:tcBorders>
              <w:top w:val="single" w:color="000000" w:sz="4" w:space="0"/>
              <w:left w:val="nil"/>
              <w:bottom w:val="nil"/>
              <w:right w:val="nil"/>
            </w:tcBorders>
            <w:shd w:val="clear" w:color="auto" w:fill="FFFFFF"/>
            <w:vAlign w:val="center"/>
          </w:tcPr>
          <w:p w14:paraId="5929F192">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139E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72598CB8">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0" w:type="dxa"/>
            <w:tcBorders>
              <w:top w:val="nil"/>
              <w:left w:val="nil"/>
              <w:bottom w:val="nil"/>
              <w:right w:val="nil"/>
            </w:tcBorders>
            <w:shd w:val="clear" w:color="auto" w:fill="FFFFFF"/>
            <w:vAlign w:val="center"/>
          </w:tcPr>
          <w:p w14:paraId="6EC64A5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51.62</w:t>
            </w:r>
          </w:p>
        </w:tc>
        <w:tc>
          <w:tcPr>
            <w:tcW w:w="1161" w:type="dxa"/>
            <w:tcBorders>
              <w:top w:val="nil"/>
              <w:left w:val="nil"/>
              <w:bottom w:val="nil"/>
              <w:right w:val="nil"/>
            </w:tcBorders>
            <w:shd w:val="clear" w:color="auto" w:fill="FFFFFF"/>
            <w:vAlign w:val="center"/>
          </w:tcPr>
          <w:p w14:paraId="4A61BCD8">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343899DD">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25A7C81E">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322B6936">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0CC23D3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45.94</w:t>
            </w:r>
          </w:p>
        </w:tc>
        <w:tc>
          <w:tcPr>
            <w:tcW w:w="1161" w:type="dxa"/>
            <w:tcBorders>
              <w:top w:val="nil"/>
              <w:left w:val="nil"/>
              <w:bottom w:val="nil"/>
              <w:right w:val="nil"/>
            </w:tcBorders>
            <w:shd w:val="clear" w:color="auto" w:fill="FFFFFF"/>
            <w:vAlign w:val="center"/>
          </w:tcPr>
          <w:p w14:paraId="74806C8A">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70D2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2AE7DAA9">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0" w:type="dxa"/>
            <w:tcBorders>
              <w:top w:val="nil"/>
              <w:left w:val="nil"/>
              <w:bottom w:val="nil"/>
              <w:right w:val="nil"/>
            </w:tcBorders>
            <w:shd w:val="clear" w:color="auto" w:fill="FFFFFF"/>
            <w:vAlign w:val="center"/>
          </w:tcPr>
          <w:p w14:paraId="63E2AA82">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45.94</w:t>
            </w:r>
          </w:p>
        </w:tc>
        <w:tc>
          <w:tcPr>
            <w:tcW w:w="1161" w:type="dxa"/>
            <w:tcBorders>
              <w:top w:val="nil"/>
              <w:left w:val="nil"/>
              <w:bottom w:val="nil"/>
              <w:right w:val="nil"/>
            </w:tcBorders>
            <w:shd w:val="clear" w:color="auto" w:fill="FFFFFF"/>
            <w:vAlign w:val="center"/>
          </w:tcPr>
          <w:p w14:paraId="331E2E7B">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33FA6668">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112A8A0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5326785A">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218D70B1">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40.89</w:t>
            </w:r>
          </w:p>
        </w:tc>
        <w:tc>
          <w:tcPr>
            <w:tcW w:w="1161" w:type="dxa"/>
            <w:tcBorders>
              <w:top w:val="nil"/>
              <w:left w:val="nil"/>
              <w:bottom w:val="nil"/>
              <w:right w:val="nil"/>
            </w:tcBorders>
            <w:shd w:val="clear" w:color="auto" w:fill="FFFFFF"/>
            <w:vAlign w:val="center"/>
          </w:tcPr>
          <w:p w14:paraId="28C2788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419C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007541B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w:t>
            </w:r>
          </w:p>
        </w:tc>
        <w:tc>
          <w:tcPr>
            <w:tcW w:w="1160" w:type="dxa"/>
            <w:tcBorders>
              <w:top w:val="nil"/>
              <w:left w:val="nil"/>
              <w:bottom w:val="nil"/>
              <w:right w:val="nil"/>
            </w:tcBorders>
            <w:shd w:val="clear" w:color="auto" w:fill="FFFFFF"/>
            <w:vAlign w:val="center"/>
          </w:tcPr>
          <w:p w14:paraId="68F0C6E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40.89</w:t>
            </w:r>
          </w:p>
        </w:tc>
        <w:tc>
          <w:tcPr>
            <w:tcW w:w="1161" w:type="dxa"/>
            <w:tcBorders>
              <w:top w:val="nil"/>
              <w:left w:val="nil"/>
              <w:bottom w:val="nil"/>
              <w:right w:val="nil"/>
            </w:tcBorders>
            <w:shd w:val="clear" w:color="auto" w:fill="FFFFFF"/>
            <w:vAlign w:val="center"/>
          </w:tcPr>
          <w:p w14:paraId="2FDD2DCB">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0F249B40">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6B48685F">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0EB8B3E3">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3E45C04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36.39</w:t>
            </w:r>
          </w:p>
        </w:tc>
        <w:tc>
          <w:tcPr>
            <w:tcW w:w="1161" w:type="dxa"/>
            <w:tcBorders>
              <w:top w:val="nil"/>
              <w:left w:val="nil"/>
              <w:bottom w:val="nil"/>
              <w:right w:val="nil"/>
            </w:tcBorders>
            <w:shd w:val="clear" w:color="auto" w:fill="FFFFFF"/>
            <w:vAlign w:val="center"/>
          </w:tcPr>
          <w:p w14:paraId="5706C8A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45E2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780E6CC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w:t>
            </w:r>
          </w:p>
        </w:tc>
        <w:tc>
          <w:tcPr>
            <w:tcW w:w="1160" w:type="dxa"/>
            <w:tcBorders>
              <w:top w:val="nil"/>
              <w:left w:val="nil"/>
              <w:bottom w:val="nil"/>
              <w:right w:val="nil"/>
            </w:tcBorders>
            <w:shd w:val="clear" w:color="auto" w:fill="FFFFFF"/>
            <w:vAlign w:val="center"/>
          </w:tcPr>
          <w:p w14:paraId="2C9A9016">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36.39</w:t>
            </w:r>
          </w:p>
        </w:tc>
        <w:tc>
          <w:tcPr>
            <w:tcW w:w="1161" w:type="dxa"/>
            <w:tcBorders>
              <w:top w:val="nil"/>
              <w:left w:val="nil"/>
              <w:bottom w:val="nil"/>
              <w:right w:val="nil"/>
            </w:tcBorders>
            <w:shd w:val="clear" w:color="auto" w:fill="FFFFFF"/>
            <w:vAlign w:val="center"/>
          </w:tcPr>
          <w:p w14:paraId="7855765A">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56DE71DD">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6F49F3B9">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31222B5E">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6DA37ADD">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32.39</w:t>
            </w:r>
          </w:p>
        </w:tc>
        <w:tc>
          <w:tcPr>
            <w:tcW w:w="1161" w:type="dxa"/>
            <w:tcBorders>
              <w:top w:val="nil"/>
              <w:left w:val="nil"/>
              <w:bottom w:val="nil"/>
              <w:right w:val="nil"/>
            </w:tcBorders>
            <w:shd w:val="clear" w:color="auto" w:fill="FFFFFF"/>
            <w:vAlign w:val="center"/>
          </w:tcPr>
          <w:p w14:paraId="473C065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0E12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single" w:color="000000" w:sz="12" w:space="0"/>
              <w:right w:val="nil"/>
            </w:tcBorders>
            <w:shd w:val="clear" w:color="auto" w:fill="FFFFFF"/>
            <w:vAlign w:val="center"/>
          </w:tcPr>
          <w:p w14:paraId="29EA0736">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w:t>
            </w:r>
          </w:p>
        </w:tc>
        <w:tc>
          <w:tcPr>
            <w:tcW w:w="1160" w:type="dxa"/>
            <w:tcBorders>
              <w:top w:val="nil"/>
              <w:left w:val="nil"/>
              <w:bottom w:val="single" w:color="000000" w:sz="12" w:space="0"/>
              <w:right w:val="nil"/>
            </w:tcBorders>
            <w:shd w:val="clear" w:color="auto" w:fill="FFFFFF"/>
            <w:vAlign w:val="center"/>
          </w:tcPr>
          <w:p w14:paraId="2A1451A8">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32.39</w:t>
            </w:r>
          </w:p>
        </w:tc>
        <w:tc>
          <w:tcPr>
            <w:tcW w:w="1161" w:type="dxa"/>
            <w:tcBorders>
              <w:top w:val="nil"/>
              <w:left w:val="nil"/>
              <w:bottom w:val="single" w:color="000000" w:sz="12" w:space="0"/>
              <w:right w:val="nil"/>
            </w:tcBorders>
            <w:shd w:val="clear" w:color="auto" w:fill="FFFFFF"/>
            <w:vAlign w:val="center"/>
          </w:tcPr>
          <w:p w14:paraId="7C58C6DE">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single" w:color="000000" w:sz="12" w:space="0"/>
              <w:right w:val="nil"/>
            </w:tcBorders>
            <w:shd w:val="clear" w:color="auto" w:fill="FFFFFF"/>
            <w:vAlign w:val="center"/>
          </w:tcPr>
          <w:p w14:paraId="311507F0">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single" w:color="000000" w:sz="12" w:space="0"/>
              <w:right w:val="nil"/>
            </w:tcBorders>
            <w:shd w:val="clear" w:color="auto" w:fill="FFFFFF"/>
            <w:vAlign w:val="center"/>
          </w:tcPr>
          <w:p w14:paraId="5A1292DC">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single" w:color="000000" w:sz="12" w:space="0"/>
              <w:right w:val="nil"/>
            </w:tcBorders>
            <w:shd w:val="clear" w:color="auto" w:fill="FFFFFF"/>
            <w:vAlign w:val="center"/>
          </w:tcPr>
          <w:p w14:paraId="06487177">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single" w:color="000000" w:sz="12" w:space="0"/>
              <w:right w:val="nil"/>
            </w:tcBorders>
            <w:shd w:val="clear" w:color="auto" w:fill="FFFFFF"/>
            <w:vAlign w:val="center"/>
          </w:tcPr>
          <w:p w14:paraId="7A2C3B82">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28.82</w:t>
            </w:r>
          </w:p>
        </w:tc>
        <w:tc>
          <w:tcPr>
            <w:tcW w:w="1161" w:type="dxa"/>
            <w:tcBorders>
              <w:top w:val="nil"/>
              <w:left w:val="nil"/>
              <w:bottom w:val="single" w:color="000000" w:sz="12" w:space="0"/>
              <w:right w:val="nil"/>
            </w:tcBorders>
            <w:shd w:val="clear" w:color="auto" w:fill="FFFFFF"/>
            <w:vAlign w:val="center"/>
          </w:tcPr>
          <w:p w14:paraId="50046BE4">
            <w:pPr>
              <w:keepNext w:val="0"/>
              <w:keepLines w:val="0"/>
              <w:widowControl/>
              <w:suppressLineNumbers w:val="0"/>
              <w:jc w:val="center"/>
              <w:textAlignment w:val="cente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bl>
    <w:p w14:paraId="55A419AB">
      <w:pPr>
        <w:numPr>
          <w:ilvl w:val="0"/>
          <w:numId w:val="0"/>
        </w:numPr>
        <w:jc w:val="both"/>
        <w:rPr>
          <w:rFonts w:hint="default" w:hAnsi="Cambria Math"/>
          <w:i w:val="0"/>
          <w:sz w:val="24"/>
          <w:lang w:val="en-US" w:eastAsia="zh-CN"/>
        </w:rPr>
      </w:pPr>
      <w:r>
        <w:rPr>
          <w:rFonts w:hint="default" w:hAnsi="Cambria Math"/>
          <w:i w:val="0"/>
          <w:sz w:val="24"/>
          <w:lang w:val="en-US" w:eastAsia="zh-CN"/>
        </w:rPr>
        <w:t>结果</w:t>
      </w:r>
    </w:p>
    <w:p w14:paraId="7864DC90">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最终积分：28.82，下降29.18（50.3%），总成本：138</w:t>
      </w:r>
      <w:r>
        <w:rPr>
          <w:rFonts w:hint="eastAsia" w:hAnsi="Cambria Math"/>
          <w:i w:val="0"/>
          <w:sz w:val="24"/>
          <w:lang w:val="en-US" w:eastAsia="zh-CN"/>
        </w:rPr>
        <w:t>0</w:t>
      </w:r>
      <w:r>
        <w:rPr>
          <w:rFonts w:hint="default" w:hAnsi="Cambria Math"/>
          <w:i w:val="0"/>
          <w:sz w:val="24"/>
          <w:lang w:val="en-US" w:eastAsia="zh-CN"/>
        </w:rPr>
        <w:t>元。</w:t>
      </w:r>
    </w:p>
    <w:p w14:paraId="1EFF225E">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解读：样本2初始积分处于1级调理，月成本稳定。选择2级强度下降率显著更高</w:t>
      </w:r>
      <w:r>
        <w:rPr>
          <w:rFonts w:hint="eastAsia" w:hAnsi="Cambria Math"/>
          <w:i w:val="0"/>
          <w:sz w:val="24"/>
          <w:lang w:val="en-US" w:eastAsia="zh-CN"/>
        </w:rPr>
        <w:t>，</w:t>
      </w:r>
      <w:r>
        <w:rPr>
          <w:rFonts w:hint="default" w:hAnsi="Cambria Math"/>
          <w:i w:val="0"/>
          <w:sz w:val="24"/>
          <w:lang w:val="en-US" w:eastAsia="zh-CN"/>
        </w:rPr>
        <w:t>6个月积分下降更多，总成本仍在预算内。</w:t>
      </w:r>
    </w:p>
    <w:p w14:paraId="03D9AC05">
      <w:pPr>
        <w:numPr>
          <w:ilvl w:val="0"/>
          <w:numId w:val="0"/>
        </w:numPr>
        <w:ind w:left="0" w:leftChars="0" w:firstLine="0" w:firstLineChars="0"/>
        <w:jc w:val="both"/>
        <w:outlineLvl w:val="2"/>
        <w:rPr>
          <w:rFonts w:hint="default" w:hAnsi="Cambria Math"/>
          <w:i w:val="0"/>
          <w:sz w:val="24"/>
          <w:lang w:val="en-US" w:eastAsia="zh-CN"/>
        </w:rPr>
      </w:pPr>
      <w:bookmarkStart w:id="115" w:name="_Toc7176"/>
      <w:bookmarkStart w:id="116" w:name="_Toc18130"/>
      <w:r>
        <w:rPr>
          <w:rFonts w:hint="default" w:hAnsi="Cambria Math"/>
          <w:i w:val="0"/>
          <w:sz w:val="24"/>
          <w:lang w:val="en-US" w:eastAsia="zh-CN"/>
        </w:rPr>
        <w:t>7.4.3 样本 ID=3</w:t>
      </w:r>
      <w:bookmarkEnd w:id="115"/>
      <w:bookmarkEnd w:id="116"/>
    </w:p>
    <w:p w14:paraId="4CA51807">
      <w:pPr>
        <w:numPr>
          <w:ilvl w:val="0"/>
          <w:numId w:val="0"/>
        </w:numPr>
        <w:jc w:val="both"/>
        <w:rPr>
          <w:rFonts w:hint="default" w:hAnsi="Cambria Math"/>
          <w:i w:val="0"/>
          <w:sz w:val="24"/>
          <w:lang w:val="en-US" w:eastAsia="zh-CN"/>
        </w:rPr>
      </w:pPr>
      <w:r>
        <w:rPr>
          <w:rFonts w:hint="default" w:hAnsi="Cambria Math"/>
          <w:i w:val="0"/>
          <w:sz w:val="24"/>
          <w:lang w:val="en-US" w:eastAsia="zh-CN"/>
        </w:rPr>
        <w:t>患者特征</w:t>
      </w:r>
    </w:p>
    <w:p w14:paraId="207DEE27">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初始痰湿积分：59.0</w:t>
      </w:r>
    </w:p>
    <w:p w14:paraId="5CBDC9DD">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年龄组：40–49岁</w:t>
      </w:r>
    </w:p>
    <w:p w14:paraId="3CE0E8B5">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活动量表总分：63.0</w:t>
      </w:r>
    </w:p>
    <w:p w14:paraId="69B7D3FD">
      <w:pPr>
        <w:numPr>
          <w:ilvl w:val="0"/>
          <w:numId w:val="0"/>
        </w:numPr>
        <w:ind w:firstLine="480" w:firstLineChars="200"/>
        <w:jc w:val="both"/>
        <w:rPr>
          <w:rFonts w:hint="default" w:hAnsi="Cambria Math"/>
          <w:i w:val="0"/>
          <w:sz w:val="24"/>
          <w:lang w:val="en-US" w:eastAsia="zh-CN"/>
        </w:rPr>
      </w:pPr>
      <w:r>
        <w:rPr>
          <w:rFonts w:hint="default" w:hAnsi="Cambria Math"/>
          <w:i w:val="0"/>
          <w:sz w:val="24"/>
          <w:lang w:val="en-US" w:eastAsia="zh-CN"/>
        </w:rPr>
        <w:t>允许强度：1、2、3级</w:t>
      </w:r>
    </w:p>
    <w:p w14:paraId="741E42E7">
      <w:pPr>
        <w:numPr>
          <w:ilvl w:val="0"/>
          <w:numId w:val="0"/>
        </w:numPr>
        <w:jc w:val="both"/>
        <w:rPr>
          <w:rFonts w:hint="default" w:hAnsi="Cambria Math"/>
          <w:i w:val="0"/>
          <w:sz w:val="24"/>
          <w:lang w:val="en-US" w:eastAsia="zh-CN"/>
        </w:rPr>
      </w:pPr>
      <w:r>
        <w:rPr>
          <w:rFonts w:hint="default" w:hAnsi="Cambria Math"/>
          <w:i w:val="0"/>
          <w:sz w:val="24"/>
          <w:lang w:val="en-US" w:eastAsia="zh-CN"/>
        </w:rPr>
        <w:t>最优方案：强度3级+频率9次/周</w:t>
      </w:r>
    </w:p>
    <w:p w14:paraId="0C436453">
      <w:pPr>
        <w:jc w:val="both"/>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表</w:t>
      </w:r>
      <w:r>
        <w:rPr>
          <w:rFonts w:hint="eastAsia" w:cs="Times New Roman"/>
          <w:sz w:val="20"/>
          <w:szCs w:val="20"/>
          <w:lang w:val="en-US" w:eastAsia="zh-CN"/>
        </w:rPr>
        <w:t>19</w:t>
      </w:r>
      <w:r>
        <w:rPr>
          <w:rFonts w:hint="default" w:ascii="Times New Roman" w:hAnsi="Times New Roman" w:eastAsia="宋体" w:cs="Times New Roman"/>
          <w:sz w:val="20"/>
          <w:szCs w:val="20"/>
          <w:lang w:val="en-US" w:eastAsia="zh-CN"/>
        </w:rPr>
        <w:t xml:space="preserve"> 样本 ID=3 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60"/>
        <w:gridCol w:w="1161"/>
        <w:gridCol w:w="1161"/>
        <w:gridCol w:w="1161"/>
        <w:gridCol w:w="1161"/>
        <w:gridCol w:w="1161"/>
        <w:gridCol w:w="1161"/>
      </w:tblGrid>
      <w:tr w14:paraId="166B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614137E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月份</w:t>
            </w:r>
          </w:p>
        </w:tc>
        <w:tc>
          <w:tcPr>
            <w:tcW w:w="1160" w:type="dxa"/>
            <w:tcBorders>
              <w:top w:val="single" w:color="000000" w:sz="12" w:space="0"/>
              <w:left w:val="nil"/>
              <w:bottom w:val="single" w:color="000000" w:sz="4" w:space="0"/>
              <w:right w:val="nil"/>
            </w:tcBorders>
            <w:shd w:val="clear" w:color="auto" w:fill="FFFFFF"/>
            <w:vAlign w:val="center"/>
          </w:tcPr>
          <w:p w14:paraId="51853268">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月初积分</w:t>
            </w:r>
          </w:p>
        </w:tc>
        <w:tc>
          <w:tcPr>
            <w:tcW w:w="1161" w:type="dxa"/>
            <w:tcBorders>
              <w:top w:val="single" w:color="000000" w:sz="12" w:space="0"/>
              <w:left w:val="nil"/>
              <w:bottom w:val="single" w:color="000000" w:sz="4" w:space="0"/>
              <w:right w:val="nil"/>
            </w:tcBorders>
            <w:shd w:val="clear" w:color="auto" w:fill="FFFFFF"/>
            <w:vAlign w:val="center"/>
          </w:tcPr>
          <w:p w14:paraId="2A2ED4D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TCM 分级</w:t>
            </w:r>
          </w:p>
        </w:tc>
        <w:tc>
          <w:tcPr>
            <w:tcW w:w="1161" w:type="dxa"/>
            <w:tcBorders>
              <w:top w:val="single" w:color="000000" w:sz="12" w:space="0"/>
              <w:left w:val="nil"/>
              <w:bottom w:val="single" w:color="000000" w:sz="4" w:space="0"/>
              <w:right w:val="nil"/>
            </w:tcBorders>
            <w:shd w:val="clear" w:color="auto" w:fill="FFFFFF"/>
            <w:vAlign w:val="center"/>
          </w:tcPr>
          <w:p w14:paraId="208855F8">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强度</w:t>
            </w:r>
          </w:p>
        </w:tc>
        <w:tc>
          <w:tcPr>
            <w:tcW w:w="1161" w:type="dxa"/>
            <w:tcBorders>
              <w:top w:val="single" w:color="000000" w:sz="12" w:space="0"/>
              <w:left w:val="nil"/>
              <w:bottom w:val="single" w:color="000000" w:sz="4" w:space="0"/>
              <w:right w:val="nil"/>
            </w:tcBorders>
            <w:shd w:val="clear" w:color="auto" w:fill="FFFFFF"/>
            <w:vAlign w:val="center"/>
          </w:tcPr>
          <w:p w14:paraId="6AB284DA">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频率</w:t>
            </w:r>
          </w:p>
        </w:tc>
        <w:tc>
          <w:tcPr>
            <w:tcW w:w="1161" w:type="dxa"/>
            <w:tcBorders>
              <w:top w:val="single" w:color="000000" w:sz="12" w:space="0"/>
              <w:left w:val="nil"/>
              <w:bottom w:val="single" w:color="000000" w:sz="4" w:space="0"/>
              <w:right w:val="nil"/>
            </w:tcBorders>
            <w:shd w:val="clear" w:color="auto" w:fill="FFFFFF"/>
            <w:vAlign w:val="center"/>
          </w:tcPr>
          <w:p w14:paraId="164360F2">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下降率</w:t>
            </w:r>
          </w:p>
        </w:tc>
        <w:tc>
          <w:tcPr>
            <w:tcW w:w="1161" w:type="dxa"/>
            <w:tcBorders>
              <w:top w:val="single" w:color="000000" w:sz="12" w:space="0"/>
              <w:left w:val="nil"/>
              <w:bottom w:val="single" w:color="000000" w:sz="4" w:space="0"/>
              <w:right w:val="nil"/>
            </w:tcBorders>
            <w:shd w:val="clear" w:color="auto" w:fill="FFFFFF"/>
            <w:vAlign w:val="center"/>
          </w:tcPr>
          <w:p w14:paraId="59F48F32">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月末积分</w:t>
            </w:r>
          </w:p>
        </w:tc>
        <w:tc>
          <w:tcPr>
            <w:tcW w:w="1161" w:type="dxa"/>
            <w:tcBorders>
              <w:top w:val="single" w:color="000000" w:sz="12" w:space="0"/>
              <w:left w:val="nil"/>
              <w:bottom w:val="single" w:color="000000" w:sz="4" w:space="0"/>
              <w:right w:val="nil"/>
            </w:tcBorders>
            <w:shd w:val="clear" w:color="auto" w:fill="FFFFFF"/>
            <w:vAlign w:val="center"/>
          </w:tcPr>
          <w:p w14:paraId="3A4D485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月成本（元）</w:t>
            </w:r>
          </w:p>
        </w:tc>
      </w:tr>
      <w:tr w14:paraId="5967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single" w:color="000000" w:sz="4" w:space="0"/>
              <w:left w:val="nil"/>
              <w:bottom w:val="nil"/>
              <w:right w:val="nil"/>
            </w:tcBorders>
            <w:shd w:val="clear" w:color="auto" w:fill="FFFFFF"/>
            <w:vAlign w:val="center"/>
          </w:tcPr>
          <w:p w14:paraId="519D334B">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0" w:type="dxa"/>
            <w:tcBorders>
              <w:top w:val="single" w:color="000000" w:sz="4" w:space="0"/>
              <w:left w:val="nil"/>
              <w:bottom w:val="nil"/>
              <w:right w:val="nil"/>
            </w:tcBorders>
            <w:shd w:val="clear" w:color="auto" w:fill="FFFFFF"/>
            <w:vAlign w:val="center"/>
          </w:tcPr>
          <w:p w14:paraId="314DE7A5">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59</w:t>
            </w:r>
          </w:p>
        </w:tc>
        <w:tc>
          <w:tcPr>
            <w:tcW w:w="1161" w:type="dxa"/>
            <w:tcBorders>
              <w:top w:val="single" w:color="000000" w:sz="4" w:space="0"/>
              <w:left w:val="nil"/>
              <w:bottom w:val="nil"/>
              <w:right w:val="nil"/>
            </w:tcBorders>
            <w:shd w:val="clear" w:color="auto" w:fill="FFFFFF"/>
            <w:vAlign w:val="center"/>
          </w:tcPr>
          <w:p w14:paraId="6F395B19">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single" w:color="000000" w:sz="4" w:space="0"/>
              <w:left w:val="nil"/>
              <w:bottom w:val="nil"/>
              <w:right w:val="nil"/>
            </w:tcBorders>
            <w:shd w:val="clear" w:color="auto" w:fill="FFFFFF"/>
            <w:vAlign w:val="center"/>
          </w:tcPr>
          <w:p w14:paraId="7F21C66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single" w:color="000000" w:sz="4" w:space="0"/>
              <w:left w:val="nil"/>
              <w:bottom w:val="nil"/>
              <w:right w:val="nil"/>
            </w:tcBorders>
            <w:shd w:val="clear" w:color="auto" w:fill="FFFFFF"/>
            <w:vAlign w:val="center"/>
          </w:tcPr>
          <w:p w14:paraId="4550B713">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single" w:color="000000" w:sz="4" w:space="0"/>
              <w:left w:val="nil"/>
              <w:bottom w:val="nil"/>
              <w:right w:val="nil"/>
            </w:tcBorders>
            <w:shd w:val="clear" w:color="auto" w:fill="FFFFFF"/>
            <w:vAlign w:val="center"/>
          </w:tcPr>
          <w:p w14:paraId="00A87747">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single" w:color="000000" w:sz="4" w:space="0"/>
              <w:left w:val="nil"/>
              <w:bottom w:val="nil"/>
              <w:right w:val="nil"/>
            </w:tcBorders>
            <w:shd w:val="clear" w:color="auto" w:fill="FFFFFF"/>
            <w:vAlign w:val="center"/>
          </w:tcPr>
          <w:p w14:paraId="7D7E096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51.33</w:t>
            </w:r>
          </w:p>
        </w:tc>
        <w:tc>
          <w:tcPr>
            <w:tcW w:w="1161" w:type="dxa"/>
            <w:tcBorders>
              <w:top w:val="single" w:color="000000" w:sz="4" w:space="0"/>
              <w:left w:val="nil"/>
              <w:bottom w:val="nil"/>
              <w:right w:val="nil"/>
            </w:tcBorders>
            <w:shd w:val="clear" w:color="auto" w:fill="FFFFFF"/>
            <w:vAlign w:val="center"/>
          </w:tcPr>
          <w:p w14:paraId="7F3B7286">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368</w:t>
            </w:r>
          </w:p>
        </w:tc>
      </w:tr>
      <w:tr w14:paraId="1494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5B54284D">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0" w:type="dxa"/>
            <w:tcBorders>
              <w:top w:val="nil"/>
              <w:left w:val="nil"/>
              <w:bottom w:val="nil"/>
              <w:right w:val="nil"/>
            </w:tcBorders>
            <w:shd w:val="clear" w:color="auto" w:fill="FFFFFF"/>
            <w:vAlign w:val="center"/>
          </w:tcPr>
          <w:p w14:paraId="2BBDCFE1">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51.33</w:t>
            </w:r>
          </w:p>
        </w:tc>
        <w:tc>
          <w:tcPr>
            <w:tcW w:w="1161" w:type="dxa"/>
            <w:tcBorders>
              <w:top w:val="nil"/>
              <w:left w:val="nil"/>
              <w:bottom w:val="nil"/>
              <w:right w:val="nil"/>
            </w:tcBorders>
            <w:shd w:val="clear" w:color="auto" w:fill="FFFFFF"/>
            <w:vAlign w:val="center"/>
          </w:tcPr>
          <w:p w14:paraId="131AD5F9">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217A8CFF">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692B4F8">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0DEDB787">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6F2169C3">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44.66</w:t>
            </w:r>
          </w:p>
        </w:tc>
        <w:tc>
          <w:tcPr>
            <w:tcW w:w="1161" w:type="dxa"/>
            <w:tcBorders>
              <w:top w:val="nil"/>
              <w:left w:val="nil"/>
              <w:bottom w:val="nil"/>
              <w:right w:val="nil"/>
            </w:tcBorders>
            <w:shd w:val="clear" w:color="auto" w:fill="FFFFFF"/>
            <w:vAlign w:val="center"/>
          </w:tcPr>
          <w:p w14:paraId="05B5FCC1">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38D1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152AB77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0" w:type="dxa"/>
            <w:tcBorders>
              <w:top w:val="nil"/>
              <w:left w:val="nil"/>
              <w:bottom w:val="nil"/>
              <w:right w:val="nil"/>
            </w:tcBorders>
            <w:shd w:val="clear" w:color="auto" w:fill="FFFFFF"/>
            <w:vAlign w:val="center"/>
          </w:tcPr>
          <w:p w14:paraId="0669889C">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44.66</w:t>
            </w:r>
          </w:p>
        </w:tc>
        <w:tc>
          <w:tcPr>
            <w:tcW w:w="1161" w:type="dxa"/>
            <w:tcBorders>
              <w:top w:val="nil"/>
              <w:left w:val="nil"/>
              <w:bottom w:val="nil"/>
              <w:right w:val="nil"/>
            </w:tcBorders>
            <w:shd w:val="clear" w:color="auto" w:fill="FFFFFF"/>
            <w:vAlign w:val="center"/>
          </w:tcPr>
          <w:p w14:paraId="16F8AC4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188F95C3">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C2204F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22CFA6C2">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6D3CC05D">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38.85</w:t>
            </w:r>
          </w:p>
        </w:tc>
        <w:tc>
          <w:tcPr>
            <w:tcW w:w="1161" w:type="dxa"/>
            <w:tcBorders>
              <w:top w:val="nil"/>
              <w:left w:val="nil"/>
              <w:bottom w:val="nil"/>
              <w:right w:val="nil"/>
            </w:tcBorders>
            <w:shd w:val="clear" w:color="auto" w:fill="FFFFFF"/>
            <w:vAlign w:val="center"/>
          </w:tcPr>
          <w:p w14:paraId="27268CB9">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7722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56DFD4BA">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w:t>
            </w:r>
          </w:p>
        </w:tc>
        <w:tc>
          <w:tcPr>
            <w:tcW w:w="1160" w:type="dxa"/>
            <w:tcBorders>
              <w:top w:val="nil"/>
              <w:left w:val="nil"/>
              <w:bottom w:val="nil"/>
              <w:right w:val="nil"/>
            </w:tcBorders>
            <w:shd w:val="clear" w:color="auto" w:fill="FFFFFF"/>
            <w:vAlign w:val="center"/>
          </w:tcPr>
          <w:p w14:paraId="216BA983">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38.85</w:t>
            </w:r>
          </w:p>
        </w:tc>
        <w:tc>
          <w:tcPr>
            <w:tcW w:w="1161" w:type="dxa"/>
            <w:tcBorders>
              <w:top w:val="nil"/>
              <w:left w:val="nil"/>
              <w:bottom w:val="nil"/>
              <w:right w:val="nil"/>
            </w:tcBorders>
            <w:shd w:val="clear" w:color="auto" w:fill="FFFFFF"/>
            <w:vAlign w:val="center"/>
          </w:tcPr>
          <w:p w14:paraId="120707E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2A1024A7">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6387384">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7466CBA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5FB4F93B">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33.8</w:t>
            </w:r>
          </w:p>
        </w:tc>
        <w:tc>
          <w:tcPr>
            <w:tcW w:w="1161" w:type="dxa"/>
            <w:tcBorders>
              <w:top w:val="nil"/>
              <w:left w:val="nil"/>
              <w:bottom w:val="nil"/>
              <w:right w:val="nil"/>
            </w:tcBorders>
            <w:shd w:val="clear" w:color="auto" w:fill="FFFFFF"/>
            <w:vAlign w:val="center"/>
          </w:tcPr>
          <w:p w14:paraId="6FC9A4CC">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3F6B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nil"/>
              <w:right w:val="nil"/>
            </w:tcBorders>
            <w:shd w:val="clear" w:color="auto" w:fill="FFFFFF"/>
            <w:vAlign w:val="center"/>
          </w:tcPr>
          <w:p w14:paraId="4C36C6FA">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w:t>
            </w:r>
          </w:p>
        </w:tc>
        <w:tc>
          <w:tcPr>
            <w:tcW w:w="1160" w:type="dxa"/>
            <w:tcBorders>
              <w:top w:val="nil"/>
              <w:left w:val="nil"/>
              <w:bottom w:val="nil"/>
              <w:right w:val="nil"/>
            </w:tcBorders>
            <w:shd w:val="clear" w:color="auto" w:fill="FFFFFF"/>
            <w:vAlign w:val="center"/>
          </w:tcPr>
          <w:p w14:paraId="1926CC4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33.8</w:t>
            </w:r>
          </w:p>
        </w:tc>
        <w:tc>
          <w:tcPr>
            <w:tcW w:w="1161" w:type="dxa"/>
            <w:tcBorders>
              <w:top w:val="nil"/>
              <w:left w:val="nil"/>
              <w:bottom w:val="nil"/>
              <w:right w:val="nil"/>
            </w:tcBorders>
            <w:shd w:val="clear" w:color="auto" w:fill="FFFFFF"/>
            <w:vAlign w:val="center"/>
          </w:tcPr>
          <w:p w14:paraId="16745B4F">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587FAC02">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1146DA46">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42F8DB5A">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3049E439">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29.41</w:t>
            </w:r>
          </w:p>
        </w:tc>
        <w:tc>
          <w:tcPr>
            <w:tcW w:w="1161" w:type="dxa"/>
            <w:tcBorders>
              <w:top w:val="nil"/>
              <w:left w:val="nil"/>
              <w:bottom w:val="nil"/>
              <w:right w:val="nil"/>
            </w:tcBorders>
            <w:shd w:val="clear" w:color="auto" w:fill="FFFFFF"/>
            <w:vAlign w:val="center"/>
          </w:tcPr>
          <w:p w14:paraId="252AB34E">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093A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tcBorders>
              <w:top w:val="nil"/>
              <w:left w:val="nil"/>
              <w:bottom w:val="single" w:color="000000" w:sz="12" w:space="0"/>
              <w:right w:val="nil"/>
            </w:tcBorders>
            <w:shd w:val="clear" w:color="auto" w:fill="FFFFFF"/>
            <w:vAlign w:val="center"/>
          </w:tcPr>
          <w:p w14:paraId="0999409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w:t>
            </w:r>
          </w:p>
        </w:tc>
        <w:tc>
          <w:tcPr>
            <w:tcW w:w="1160" w:type="dxa"/>
            <w:tcBorders>
              <w:top w:val="nil"/>
              <w:left w:val="nil"/>
              <w:bottom w:val="single" w:color="000000" w:sz="12" w:space="0"/>
              <w:right w:val="nil"/>
            </w:tcBorders>
            <w:shd w:val="clear" w:color="auto" w:fill="FFFFFF"/>
            <w:vAlign w:val="center"/>
          </w:tcPr>
          <w:p w14:paraId="7B3E8380">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29.41</w:t>
            </w:r>
          </w:p>
        </w:tc>
        <w:tc>
          <w:tcPr>
            <w:tcW w:w="1161" w:type="dxa"/>
            <w:tcBorders>
              <w:top w:val="nil"/>
              <w:left w:val="nil"/>
              <w:bottom w:val="single" w:color="000000" w:sz="12" w:space="0"/>
              <w:right w:val="nil"/>
            </w:tcBorders>
            <w:shd w:val="clear" w:color="auto" w:fill="FFFFFF"/>
            <w:vAlign w:val="center"/>
          </w:tcPr>
          <w:p w14:paraId="3E6C6939">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single" w:color="000000" w:sz="12" w:space="0"/>
              <w:right w:val="nil"/>
            </w:tcBorders>
            <w:shd w:val="clear" w:color="auto" w:fill="FFFFFF"/>
            <w:vAlign w:val="center"/>
          </w:tcPr>
          <w:p w14:paraId="49679B23">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single" w:color="000000" w:sz="12" w:space="0"/>
              <w:right w:val="nil"/>
            </w:tcBorders>
            <w:shd w:val="clear" w:color="auto" w:fill="FFFFFF"/>
            <w:vAlign w:val="center"/>
          </w:tcPr>
          <w:p w14:paraId="19350E26">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single" w:color="000000" w:sz="12" w:space="0"/>
              <w:right w:val="nil"/>
            </w:tcBorders>
            <w:shd w:val="clear" w:color="auto" w:fill="FFFFFF"/>
            <w:vAlign w:val="center"/>
          </w:tcPr>
          <w:p w14:paraId="464DAE27">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single" w:color="000000" w:sz="12" w:space="0"/>
              <w:right w:val="nil"/>
            </w:tcBorders>
            <w:shd w:val="clear" w:color="auto" w:fill="FFFFFF"/>
            <w:vAlign w:val="center"/>
          </w:tcPr>
          <w:p w14:paraId="474A560C">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25.58</w:t>
            </w:r>
          </w:p>
        </w:tc>
        <w:tc>
          <w:tcPr>
            <w:tcW w:w="1161" w:type="dxa"/>
            <w:tcBorders>
              <w:top w:val="nil"/>
              <w:left w:val="nil"/>
              <w:bottom w:val="single" w:color="000000" w:sz="12" w:space="0"/>
              <w:right w:val="nil"/>
            </w:tcBorders>
            <w:shd w:val="clear" w:color="auto" w:fill="FFFFFF"/>
            <w:vAlign w:val="center"/>
          </w:tcPr>
          <w:p w14:paraId="64212928">
            <w:pPr>
              <w:keepNext w:val="0"/>
              <w:keepLines w:val="0"/>
              <w:widowControl/>
              <w:suppressLineNumbers w:val="0"/>
              <w:jc w:val="center"/>
              <w:textAlignment w:val="cente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bl>
    <w:p w14:paraId="6158962C">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结果</w:t>
      </w:r>
    </w:p>
    <w:p w14:paraId="0D41E3AD">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最终积分：25.58，下降33.42（56.6%），总成本：1958元。</w:t>
      </w:r>
    </w:p>
    <w:p w14:paraId="6947175E">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解读：样本</w:t>
      </w:r>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年龄轻、活动能力强，可使用3级强度。3级强度+ 9次/周下降率高，积分降幅最大。频率选择9次是为了不突破2000元预算，体现</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强度优先、频率适配</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策略。</w:t>
      </w:r>
    </w:p>
    <w:p w14:paraId="389919D1">
      <w:pPr>
        <w:jc w:val="both"/>
        <w:outlineLvl w:val="1"/>
        <w:rPr>
          <w:rFonts w:hint="default" w:ascii="Times New Roman" w:hAnsi="Times New Roman" w:eastAsia="宋体" w:cs="Times New Roman"/>
          <w:sz w:val="22"/>
          <w:szCs w:val="22"/>
          <w:lang w:val="en-US" w:eastAsia="zh-CN"/>
        </w:rPr>
      </w:pPr>
      <w:bookmarkStart w:id="117" w:name="_Toc6467"/>
      <w:bookmarkStart w:id="118" w:name="_Toc6425"/>
      <w:r>
        <w:rPr>
          <w:rFonts w:hint="default" w:ascii="Times New Roman" w:hAnsi="Times New Roman" w:eastAsia="宋体" w:cs="Times New Roman"/>
          <w:sz w:val="22"/>
          <w:szCs w:val="22"/>
          <w:lang w:val="en-US" w:eastAsia="zh-CN"/>
        </w:rPr>
        <w:t>7.5 患者特征 — 最优方案匹配规律</w:t>
      </w:r>
      <w:bookmarkEnd w:id="117"/>
      <w:bookmarkEnd w:id="118"/>
    </w:p>
    <w:p w14:paraId="1283615B">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全体 278 名痰湿体质患者按允许强度分为三组，结果如下：</w:t>
      </w:r>
    </w:p>
    <w:p w14:paraId="47D42C5F">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A 组（仅允许1级强度）：92人</w:t>
      </w:r>
    </w:p>
    <w:p w14:paraId="67031AAC">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统一方案：强度1 +频率10次/周</w:t>
      </w:r>
    </w:p>
    <w:p w14:paraId="63D5E471">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B 组（允许1-2级强度）：171人</w:t>
      </w:r>
    </w:p>
    <w:p w14:paraId="79A2C51A">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统一方案：强度2 + 频率 10次/周</w:t>
      </w:r>
    </w:p>
    <w:p w14:paraId="3C887950">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C 组（允许1-3级强度）：15人</w:t>
      </w:r>
    </w:p>
    <w:p w14:paraId="4F7AFCA1">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方案：强度3 +频率9次/周（部分TCM3级为8次/周）</w:t>
      </w:r>
    </w:p>
    <w:p w14:paraId="219ED186">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整体最优强度分布：1级92人、2级171人、3 级15人</w:t>
      </w:r>
    </w:p>
    <w:p w14:paraId="13EEE96F">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整体最优频率分布：8次/周5人、9次/周10人、10次/周263人</w:t>
      </w:r>
    </w:p>
    <w:p w14:paraId="2B0C5EDD">
      <w:pPr>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核心匹配规律：</w:t>
      </w:r>
    </w:p>
    <w:p w14:paraId="4F099907">
      <w:pPr>
        <w:ind w:firstLine="440" w:firstLineChars="200"/>
        <w:jc w:val="both"/>
        <w:outlineLvl w:val="2"/>
        <w:rPr>
          <w:rFonts w:hint="default" w:ascii="Times New Roman" w:hAnsi="Times New Roman" w:eastAsia="宋体" w:cs="Times New Roman"/>
          <w:sz w:val="22"/>
          <w:szCs w:val="22"/>
          <w:lang w:val="en-US" w:eastAsia="zh-CN"/>
        </w:rPr>
      </w:pPr>
      <w:bookmarkStart w:id="119" w:name="_Toc23745"/>
      <w:bookmarkStart w:id="120" w:name="_Toc15417"/>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强度策略——就高不就低</w:t>
      </w:r>
      <w:bookmarkEnd w:id="119"/>
      <w:bookmarkEnd w:id="120"/>
    </w:p>
    <w:p w14:paraId="6D6347AE">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在允许的最大强度范围内，始终选择最高强度。每提升1级强度带来的下降率增益远高于增加1次频率，因此强度优先。</w:t>
      </w:r>
    </w:p>
    <w:p w14:paraId="40581150">
      <w:pPr>
        <w:ind w:firstLine="440" w:firstLineChars="200"/>
        <w:jc w:val="both"/>
        <w:outlineLvl w:val="2"/>
        <w:rPr>
          <w:rFonts w:hint="default" w:ascii="Times New Roman" w:hAnsi="Times New Roman" w:eastAsia="宋体" w:cs="Times New Roman"/>
          <w:sz w:val="22"/>
          <w:szCs w:val="22"/>
          <w:lang w:val="en-US" w:eastAsia="zh-CN"/>
        </w:rPr>
      </w:pPr>
      <w:bookmarkStart w:id="121" w:name="_Toc28116"/>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频率策略——预算允许内拉满</w:t>
      </w:r>
      <w:bookmarkEnd w:id="121"/>
    </w:p>
    <w:p w14:paraId="0C394249">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绝大多数患者（94.6%）选择10次/周上限，说明预算约束在多数情况下不是紧约束。仅少数初始TCM等级高、成本压力大的患者小幅降低频率。</w:t>
      </w:r>
    </w:p>
    <w:p w14:paraId="2610A16B">
      <w:pPr>
        <w:ind w:firstLine="440" w:firstLineChars="200"/>
        <w:jc w:val="both"/>
        <w:outlineLvl w:val="2"/>
        <w:rPr>
          <w:rFonts w:hint="default" w:ascii="Times New Roman" w:hAnsi="Times New Roman" w:eastAsia="宋体" w:cs="Times New Roman"/>
          <w:sz w:val="22"/>
          <w:szCs w:val="22"/>
          <w:lang w:val="en-US" w:eastAsia="zh-CN"/>
        </w:rPr>
      </w:pPr>
      <w:bookmarkStart w:id="122" w:name="_Toc2627"/>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TCM分级的首月效应</w:t>
      </w:r>
      <w:bookmarkEnd w:id="122"/>
    </w:p>
    <w:p w14:paraId="0B0BEFB1">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初始TCM分级越高，第1个月成本越高，剩余预算越少，可支持的频率越低。但随着积分下降</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TCM降级，成本压力减轻，呈现前期投入大、后期回报高的特征。</w:t>
      </w:r>
    </w:p>
    <w:p w14:paraId="5685A46E">
      <w:pPr>
        <w:ind w:firstLine="440" w:firstLineChars="200"/>
        <w:jc w:val="both"/>
        <w:outlineLvl w:val="2"/>
        <w:rPr>
          <w:rFonts w:hint="default" w:ascii="Times New Roman" w:hAnsi="Times New Roman" w:eastAsia="宋体" w:cs="Times New Roman"/>
          <w:sz w:val="22"/>
          <w:szCs w:val="22"/>
          <w:lang w:val="en-US" w:eastAsia="zh-CN"/>
        </w:rPr>
      </w:pPr>
      <w:bookmarkStart w:id="123" w:name="_Toc23206"/>
      <w:r>
        <w:rPr>
          <w:rFonts w:hint="eastAsia" w:cs="Times New Roman"/>
          <w:sz w:val="22"/>
          <w:szCs w:val="22"/>
          <w:lang w:val="en-US" w:eastAsia="zh-CN"/>
        </w:rPr>
        <w:t>4.</w:t>
      </w:r>
      <w:r>
        <w:rPr>
          <w:rFonts w:hint="default" w:ascii="Times New Roman" w:hAnsi="Times New Roman" w:eastAsia="宋体" w:cs="Times New Roman"/>
          <w:sz w:val="22"/>
          <w:szCs w:val="22"/>
          <w:lang w:val="en-US" w:eastAsia="zh-CN"/>
        </w:rPr>
        <w:t>经济效率递减规律</w:t>
      </w:r>
      <w:bookmarkEnd w:id="123"/>
    </w:p>
    <w:p w14:paraId="314D3E76">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从A组到C组，成本显著上升，但积分下降幅度的边际收益递减。预算有限患者采用低强度+高频次同样具备高性价比。</w:t>
      </w:r>
    </w:p>
    <w:p w14:paraId="439AF23F">
      <w:pPr>
        <w:jc w:val="both"/>
        <w:outlineLvl w:val="1"/>
        <w:rPr>
          <w:rFonts w:hint="default" w:ascii="Times New Roman" w:hAnsi="Times New Roman" w:eastAsia="宋体" w:cs="Times New Roman"/>
          <w:sz w:val="22"/>
          <w:szCs w:val="22"/>
          <w:lang w:val="en-US" w:eastAsia="zh-CN"/>
        </w:rPr>
      </w:pPr>
      <w:bookmarkStart w:id="124" w:name="_Toc16707"/>
      <w:bookmarkStart w:id="125" w:name="_Toc3098"/>
      <w:r>
        <w:rPr>
          <w:rFonts w:hint="default" w:ascii="Times New Roman" w:hAnsi="Times New Roman" w:eastAsia="宋体" w:cs="Times New Roman"/>
          <w:sz w:val="22"/>
          <w:szCs w:val="22"/>
          <w:lang w:val="en-US" w:eastAsia="zh-CN"/>
        </w:rPr>
        <w:t>7.6 模型结论</w:t>
      </w:r>
      <w:bookmarkEnd w:id="124"/>
      <w:bookmarkEnd w:id="125"/>
    </w:p>
    <w:p w14:paraId="7044CF0D">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所构建的约束优化模型可面向所有痰湿体质患者，输出6个月个性化最优干预方案；</w:t>
      </w:r>
    </w:p>
    <w:p w14:paraId="3DB55B2F">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穷举法在小决策空间下高效、可靠，可直接用于临床快速方案匹配；</w:t>
      </w:r>
    </w:p>
    <w:p w14:paraId="1C2C2D4B">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样本 1、2、3分别实现 39.4%、50.3%、56.6%的痰湿积分下降，均满足预算约束；</w:t>
      </w:r>
    </w:p>
    <w:p w14:paraId="34317ACC">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4.</w:t>
      </w:r>
      <w:r>
        <w:rPr>
          <w:rFonts w:hint="default" w:ascii="Times New Roman" w:hAnsi="Times New Roman" w:eastAsia="宋体" w:cs="Times New Roman"/>
          <w:sz w:val="22"/>
          <w:szCs w:val="22"/>
          <w:lang w:val="en-US" w:eastAsia="zh-CN"/>
        </w:rPr>
        <w:t>所提炼的</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患者特征—最优方案</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匹配规律通用、稳定，可直接用于中老年痰湿体质人群的分级干预指导。</w:t>
      </w:r>
    </w:p>
    <w:p w14:paraId="206366C8">
      <w:pPr>
        <w:numPr>
          <w:ilvl w:val="0"/>
          <w:numId w:val="0"/>
        </w:numPr>
        <w:ind w:left="0" w:leftChars="0" w:firstLine="0" w:firstLineChars="0"/>
        <w:jc w:val="center"/>
        <w:rPr>
          <w:rFonts w:hint="eastAsia" w:ascii="Times New Roman" w:hAnsi="Times New Roman" w:eastAsia="宋体" w:cs="Times New Roman"/>
          <w:b/>
          <w:bCs/>
          <w:sz w:val="24"/>
          <w:szCs w:val="24"/>
          <w:lang w:val="en-US" w:eastAsia="zh-CN"/>
        </w:rPr>
      </w:pPr>
    </w:p>
    <w:p w14:paraId="6C126F80">
      <w:pPr>
        <w:numPr>
          <w:ilvl w:val="0"/>
          <w:numId w:val="0"/>
        </w:numPr>
        <w:ind w:left="0" w:leftChars="0" w:firstLine="0" w:firstLineChars="0"/>
        <w:jc w:val="center"/>
        <w:outlineLvl w:val="0"/>
        <w:rPr>
          <w:rFonts w:hint="default" w:ascii="Times New Roman" w:hAnsi="Times New Roman" w:eastAsia="宋体" w:cs="Times New Roman"/>
          <w:b/>
          <w:bCs/>
          <w:sz w:val="24"/>
          <w:szCs w:val="24"/>
          <w:lang w:val="en-US" w:eastAsia="zh-CN"/>
        </w:rPr>
      </w:pPr>
      <w:bookmarkStart w:id="126" w:name="_Toc5335"/>
      <w:r>
        <w:rPr>
          <w:rFonts w:hint="eastAsia" w:ascii="Times New Roman" w:hAnsi="Times New Roman" w:eastAsia="宋体" w:cs="Times New Roman"/>
          <w:b/>
          <w:bCs/>
          <w:sz w:val="24"/>
          <w:szCs w:val="24"/>
          <w:lang w:val="en-US" w:eastAsia="zh-CN"/>
        </w:rPr>
        <w:t>八、</w:t>
      </w:r>
      <w:r>
        <w:rPr>
          <w:rFonts w:hint="default" w:ascii="Times New Roman" w:hAnsi="Times New Roman" w:eastAsia="宋体" w:cs="Times New Roman"/>
          <w:b/>
          <w:bCs/>
          <w:sz w:val="24"/>
          <w:szCs w:val="24"/>
          <w:lang w:val="en-US" w:eastAsia="zh-CN"/>
        </w:rPr>
        <w:t>模型的优缺点分析</w:t>
      </w:r>
      <w:bookmarkEnd w:id="126"/>
    </w:p>
    <w:p w14:paraId="1407F6A3">
      <w:pPr>
        <w:jc w:val="both"/>
        <w:outlineLvl w:val="1"/>
        <w:rPr>
          <w:rFonts w:hint="default" w:ascii="Times New Roman" w:hAnsi="Times New Roman" w:eastAsia="宋体" w:cs="Times New Roman"/>
          <w:sz w:val="22"/>
          <w:szCs w:val="22"/>
          <w:lang w:val="en-US" w:eastAsia="zh-CN"/>
        </w:rPr>
      </w:pPr>
      <w:bookmarkStart w:id="127" w:name="_Toc21633"/>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模型优点</w:t>
      </w:r>
      <w:bookmarkEnd w:id="127"/>
    </w:p>
    <w:p w14:paraId="169FBBA9">
      <w:pPr>
        <w:ind w:firstLine="440" w:firstLineChars="200"/>
        <w:jc w:val="both"/>
        <w:outlineLvl w:val="2"/>
        <w:rPr>
          <w:rFonts w:hint="default" w:ascii="Times New Roman" w:hAnsi="Times New Roman" w:eastAsia="宋体" w:cs="Times New Roman"/>
          <w:sz w:val="22"/>
          <w:szCs w:val="22"/>
          <w:lang w:val="en-US" w:eastAsia="zh-CN"/>
        </w:rPr>
      </w:pPr>
      <w:bookmarkStart w:id="128" w:name="_Toc10360"/>
      <w:bookmarkStart w:id="129" w:name="_Toc13395"/>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多维度融合，预警精度高</w:t>
      </w:r>
      <w:bookmarkEnd w:id="128"/>
      <w:bookmarkEnd w:id="129"/>
    </w:p>
    <w:p w14:paraId="1F9EE5F0">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融合中医体质、血常规、活动量表、人口学四大维度特征构建逻辑回归预警模型，5折交叉验证AUC达0.9719，高风险组实际患病率98.89%，低风险组仅8.82%，分层效果优异，可精准识别高血脂高危人群。</w:t>
      </w:r>
    </w:p>
    <w:p w14:paraId="285AD8AB">
      <w:pPr>
        <w:ind w:firstLine="440" w:firstLineChars="200"/>
        <w:jc w:val="both"/>
        <w:outlineLvl w:val="2"/>
        <w:rPr>
          <w:rFonts w:hint="default" w:ascii="Times New Roman" w:hAnsi="Times New Roman" w:eastAsia="宋体" w:cs="Times New Roman"/>
          <w:sz w:val="22"/>
          <w:szCs w:val="22"/>
          <w:lang w:val="en-US" w:eastAsia="zh-CN"/>
        </w:rPr>
      </w:pPr>
      <w:bookmarkStart w:id="130" w:name="_Toc3994"/>
      <w:bookmarkStart w:id="131" w:name="_Toc29472"/>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可解释性强，贴合临床应用</w:t>
      </w:r>
      <w:bookmarkEnd w:id="130"/>
      <w:bookmarkEnd w:id="131"/>
    </w:p>
    <w:p w14:paraId="10917126">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采用浅层决策树提取显式风险判定规则，核心指标仅TG、TC血尿酸3项，规则简洁直观，无需复杂计算即可直接用于基层临床筛查，符合中医与西医结合的诊疗逻辑。</w:t>
      </w:r>
    </w:p>
    <w:p w14:paraId="4465248D">
      <w:pPr>
        <w:ind w:firstLine="440" w:firstLineChars="200"/>
        <w:jc w:val="both"/>
        <w:outlineLvl w:val="2"/>
        <w:rPr>
          <w:rFonts w:hint="default" w:ascii="Times New Roman" w:hAnsi="Times New Roman" w:eastAsia="宋体" w:cs="Times New Roman"/>
          <w:sz w:val="22"/>
          <w:szCs w:val="22"/>
          <w:lang w:val="en-US" w:eastAsia="zh-CN"/>
        </w:rPr>
      </w:pPr>
      <w:bookmarkStart w:id="132" w:name="_Toc11230"/>
      <w:bookmarkStart w:id="133" w:name="_Toc13086"/>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优化模型实用，干预方案个性化</w:t>
      </w:r>
      <w:bookmarkEnd w:id="132"/>
      <w:bookmarkEnd w:id="133"/>
    </w:p>
    <w:p w14:paraId="478FDBEF">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针对痰湿体质构建约束优化干预模型，以最小化痰湿积分、控制经济成本为目标，结合年龄、活动能力设置约束，输出6个月固定干预方案，患者依从性高，且形成通用的</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患者特征-最优方案</w:t>
      </w:r>
      <w:r>
        <w:rPr>
          <w:rFonts w:hint="eastAsia" w:cs="Times New Roman"/>
          <w:sz w:val="22"/>
          <w:szCs w:val="22"/>
          <w:lang w:val="en-US" w:eastAsia="zh-CN"/>
        </w:rPr>
        <w:t>”</w:t>
      </w:r>
      <w:r>
        <w:rPr>
          <w:rFonts w:hint="default" w:ascii="Times New Roman" w:hAnsi="Times New Roman" w:eastAsia="宋体" w:cs="Times New Roman"/>
          <w:sz w:val="22"/>
          <w:szCs w:val="22"/>
          <w:lang w:val="en-US" w:eastAsia="zh-CN"/>
        </w:rPr>
        <w:t>匹配规律。</w:t>
      </w:r>
    </w:p>
    <w:p w14:paraId="5402175D">
      <w:pPr>
        <w:ind w:firstLine="440" w:firstLineChars="200"/>
        <w:jc w:val="both"/>
        <w:outlineLvl w:val="2"/>
        <w:rPr>
          <w:rFonts w:hint="default" w:ascii="Times New Roman" w:hAnsi="Times New Roman" w:eastAsia="宋体" w:cs="Times New Roman"/>
          <w:sz w:val="22"/>
          <w:szCs w:val="22"/>
          <w:lang w:val="en-US" w:eastAsia="zh-CN"/>
        </w:rPr>
      </w:pPr>
      <w:bookmarkStart w:id="134" w:name="_Toc28742"/>
      <w:bookmarkStart w:id="135" w:name="_Toc12898"/>
      <w:r>
        <w:rPr>
          <w:rFonts w:hint="eastAsia" w:cs="Times New Roman"/>
          <w:sz w:val="22"/>
          <w:szCs w:val="22"/>
          <w:lang w:val="en-US" w:eastAsia="zh-CN"/>
        </w:rPr>
        <w:t>4.</w:t>
      </w:r>
      <w:r>
        <w:rPr>
          <w:rFonts w:hint="default" w:ascii="Times New Roman" w:hAnsi="Times New Roman" w:eastAsia="宋体" w:cs="Times New Roman"/>
          <w:sz w:val="22"/>
          <w:szCs w:val="22"/>
          <w:lang w:val="en-US" w:eastAsia="zh-CN"/>
        </w:rPr>
        <w:t>算法稳健，适配医疗数据特性</w:t>
      </w:r>
      <w:bookmarkEnd w:id="134"/>
      <w:bookmarkEnd w:id="135"/>
    </w:p>
    <w:p w14:paraId="18B46E79">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数据无缺失、无异常值，采用Min-Max归一化统一量纲；LASSO回归解决特征共线性问题，随机森林精准筛选关键指标，Apriori算法有效挖掘特征组合，各类算法适配医疗数据小样本、高维度、强解释性需求。</w:t>
      </w:r>
    </w:p>
    <w:p w14:paraId="5A07FCEB">
      <w:pPr>
        <w:ind w:firstLine="440" w:firstLineChars="200"/>
        <w:jc w:val="both"/>
        <w:outlineLvl w:val="2"/>
        <w:rPr>
          <w:rFonts w:hint="default" w:ascii="Times New Roman" w:hAnsi="Times New Roman" w:eastAsia="宋体" w:cs="Times New Roman"/>
          <w:sz w:val="22"/>
          <w:szCs w:val="22"/>
          <w:lang w:val="en-US" w:eastAsia="zh-CN"/>
        </w:rPr>
      </w:pPr>
      <w:bookmarkStart w:id="136" w:name="_Toc27239"/>
      <w:bookmarkStart w:id="137" w:name="_Toc7181"/>
      <w:r>
        <w:rPr>
          <w:rFonts w:hint="eastAsia" w:cs="Times New Roman"/>
          <w:sz w:val="22"/>
          <w:szCs w:val="22"/>
          <w:lang w:val="en-US" w:eastAsia="zh-CN"/>
        </w:rPr>
        <w:t>5.</w:t>
      </w:r>
      <w:r>
        <w:rPr>
          <w:rFonts w:hint="default" w:ascii="Times New Roman" w:hAnsi="Times New Roman" w:eastAsia="宋体" w:cs="Times New Roman"/>
          <w:sz w:val="22"/>
          <w:szCs w:val="22"/>
          <w:lang w:val="en-US" w:eastAsia="zh-CN"/>
        </w:rPr>
        <w:t>中西医结合，理论与实践统一</w:t>
      </w:r>
      <w:bookmarkEnd w:id="136"/>
      <w:bookmarkEnd w:id="137"/>
    </w:p>
    <w:p w14:paraId="57828992">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模型构建兼顾西医血脂代谢指标与中医痰湿体质病机，核心特征组合与干预策略均符合中西医病理机制，既满足现代医学量化标准，又贴合中医调理原则，研究成果具备落地价值。</w:t>
      </w:r>
    </w:p>
    <w:p w14:paraId="65D101EA">
      <w:pPr>
        <w:jc w:val="both"/>
        <w:outlineLvl w:val="1"/>
        <w:rPr>
          <w:rFonts w:hint="default" w:ascii="Times New Roman" w:hAnsi="Times New Roman" w:eastAsia="宋体" w:cs="Times New Roman"/>
          <w:sz w:val="22"/>
          <w:szCs w:val="22"/>
          <w:lang w:val="en-US" w:eastAsia="zh-CN"/>
        </w:rPr>
      </w:pPr>
      <w:bookmarkStart w:id="138" w:name="_Toc30996"/>
      <w:bookmarkStart w:id="139" w:name="_Toc11560"/>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模型缺点</w:t>
      </w:r>
      <w:bookmarkEnd w:id="138"/>
      <w:bookmarkEnd w:id="139"/>
    </w:p>
    <w:p w14:paraId="11B98EF3">
      <w:pPr>
        <w:ind w:firstLine="440" w:firstLineChars="200"/>
        <w:jc w:val="both"/>
        <w:outlineLvl w:val="2"/>
        <w:rPr>
          <w:rFonts w:hint="default" w:ascii="Times New Roman" w:hAnsi="Times New Roman" w:eastAsia="宋体" w:cs="Times New Roman"/>
          <w:sz w:val="22"/>
          <w:szCs w:val="22"/>
          <w:lang w:val="en-US" w:eastAsia="zh-CN"/>
        </w:rPr>
      </w:pPr>
      <w:bookmarkStart w:id="140" w:name="_Toc16292"/>
      <w:bookmarkStart w:id="141" w:name="_Toc7902"/>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体质独立解释力有限</w:t>
      </w:r>
      <w:bookmarkEnd w:id="140"/>
      <w:bookmarkEnd w:id="141"/>
    </w:p>
    <w:p w14:paraId="7D171058">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九种体质单独预测高血脂的AUC仅0.5479，所有体质OR值均无统计显著性，单纯依靠体质分型无法有效预警发病，需结合血脂指标才能实现精准评估。</w:t>
      </w:r>
    </w:p>
    <w:p w14:paraId="67CC29A1">
      <w:pPr>
        <w:ind w:firstLine="440" w:firstLineChars="200"/>
        <w:jc w:val="both"/>
        <w:outlineLvl w:val="2"/>
        <w:rPr>
          <w:rFonts w:hint="default" w:ascii="Times New Roman" w:hAnsi="Times New Roman" w:eastAsia="宋体" w:cs="Times New Roman"/>
          <w:sz w:val="22"/>
          <w:szCs w:val="22"/>
          <w:lang w:val="en-US" w:eastAsia="zh-CN"/>
        </w:rPr>
      </w:pPr>
      <w:bookmarkStart w:id="142" w:name="_Toc5653"/>
      <w:bookmarkStart w:id="143" w:name="_Toc28005"/>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决策树特征覆盖范围窄</w:t>
      </w:r>
      <w:bookmarkEnd w:id="142"/>
      <w:bookmarkEnd w:id="143"/>
    </w:p>
    <w:p w14:paraId="11E6CA30">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风险分层决策树仅选用TG、TC、血尿酸3项指标，未纳入痰湿积分、活动量表等中医与行为特征，弱化了体质与生活方式对风险的影响，规则全面性不足。</w:t>
      </w:r>
    </w:p>
    <w:p w14:paraId="077FA91D">
      <w:pPr>
        <w:ind w:firstLine="440" w:firstLineChars="200"/>
        <w:jc w:val="both"/>
        <w:outlineLvl w:val="2"/>
        <w:rPr>
          <w:rFonts w:hint="default" w:ascii="Times New Roman" w:hAnsi="Times New Roman" w:eastAsia="宋体" w:cs="Times New Roman"/>
          <w:sz w:val="22"/>
          <w:szCs w:val="22"/>
          <w:lang w:val="en-US" w:eastAsia="zh-CN"/>
        </w:rPr>
      </w:pPr>
      <w:bookmarkStart w:id="144" w:name="_Toc5172"/>
      <w:bookmarkStart w:id="145" w:name="_Toc22813"/>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干预模型为静态固定方案</w:t>
      </w:r>
      <w:bookmarkEnd w:id="144"/>
      <w:bookmarkEnd w:id="145"/>
    </w:p>
    <w:p w14:paraId="22275778">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假设6个月干预强度与频率固定，未考虑患者痰湿积分下降后身体耐受度提升、依从性变化等动态因素，缺乏自适应调整机制，与实际干预场景存在偏差。</w:t>
      </w:r>
    </w:p>
    <w:p w14:paraId="2B360595">
      <w:pPr>
        <w:ind w:firstLine="440" w:firstLineChars="200"/>
        <w:jc w:val="both"/>
        <w:outlineLvl w:val="2"/>
        <w:rPr>
          <w:rFonts w:hint="default" w:ascii="Times New Roman" w:hAnsi="Times New Roman" w:eastAsia="宋体" w:cs="Times New Roman"/>
          <w:sz w:val="22"/>
          <w:szCs w:val="22"/>
          <w:lang w:val="en-US" w:eastAsia="zh-CN"/>
        </w:rPr>
      </w:pPr>
      <w:bookmarkStart w:id="146" w:name="_Toc11947"/>
      <w:bookmarkStart w:id="147" w:name="_Toc12414"/>
      <w:r>
        <w:rPr>
          <w:rFonts w:hint="eastAsia" w:cs="Times New Roman"/>
          <w:sz w:val="22"/>
          <w:szCs w:val="22"/>
          <w:lang w:val="en-US" w:eastAsia="zh-CN"/>
        </w:rPr>
        <w:t>4.</w:t>
      </w:r>
      <w:r>
        <w:rPr>
          <w:rFonts w:hint="default" w:ascii="Times New Roman" w:hAnsi="Times New Roman" w:eastAsia="宋体" w:cs="Times New Roman"/>
          <w:sz w:val="22"/>
          <w:szCs w:val="22"/>
          <w:lang w:val="en-US" w:eastAsia="zh-CN"/>
        </w:rPr>
        <w:t>样本代表性存在局限</w:t>
      </w:r>
      <w:bookmarkEnd w:id="146"/>
      <w:bookmarkEnd w:id="147"/>
    </w:p>
    <w:p w14:paraId="6F1D7296">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研究样本仅针对特定中老年人群，未覆盖青年、老年高龄等全年龄段，且未纳入地域、饮食习惯、基础疾病等混杂因素，模型泛化能力受样本范围限制。</w:t>
      </w:r>
    </w:p>
    <w:p w14:paraId="3E2F8E92">
      <w:pPr>
        <w:ind w:firstLine="440" w:firstLineChars="200"/>
        <w:jc w:val="both"/>
        <w:outlineLvl w:val="2"/>
        <w:rPr>
          <w:rFonts w:hint="default" w:ascii="Times New Roman" w:hAnsi="Times New Roman" w:eastAsia="宋体" w:cs="Times New Roman"/>
          <w:sz w:val="22"/>
          <w:szCs w:val="22"/>
          <w:lang w:val="en-US" w:eastAsia="zh-CN"/>
        </w:rPr>
      </w:pPr>
      <w:bookmarkStart w:id="148" w:name="_Toc18434"/>
      <w:bookmarkStart w:id="149" w:name="_Toc1713"/>
      <w:r>
        <w:rPr>
          <w:rFonts w:hint="eastAsia" w:cs="Times New Roman"/>
          <w:sz w:val="22"/>
          <w:szCs w:val="22"/>
          <w:lang w:val="en-US" w:eastAsia="zh-CN"/>
        </w:rPr>
        <w:t>5.</w:t>
      </w:r>
      <w:r>
        <w:rPr>
          <w:rFonts w:hint="default" w:ascii="Times New Roman" w:hAnsi="Times New Roman" w:eastAsia="宋体" w:cs="Times New Roman"/>
          <w:sz w:val="22"/>
          <w:szCs w:val="22"/>
          <w:lang w:val="en-US" w:eastAsia="zh-CN"/>
        </w:rPr>
        <w:t>关联规则提升度偏低</w:t>
      </w:r>
      <w:bookmarkEnd w:id="148"/>
      <w:bookmarkEnd w:id="149"/>
    </w:p>
    <w:p w14:paraId="259D28B1">
      <w:pPr>
        <w:ind w:firstLine="440" w:firstLineChars="200"/>
        <w:jc w:val="both"/>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痰湿体质高风险组内关联规则Lift值仅1.0~1.14，特征间协同效应较弱，核心组合区分力依赖组间对比 Lift，内部关联挖掘深度不足。</w:t>
      </w:r>
    </w:p>
    <w:p w14:paraId="214656E7">
      <w:pPr>
        <w:jc w:val="both"/>
        <w:outlineLvl w:val="1"/>
        <w:rPr>
          <w:rFonts w:hint="default" w:ascii="Times New Roman" w:hAnsi="Times New Roman" w:eastAsia="宋体" w:cs="Times New Roman"/>
          <w:sz w:val="22"/>
          <w:szCs w:val="22"/>
          <w:lang w:val="en-US" w:eastAsia="zh-CN"/>
        </w:rPr>
      </w:pPr>
      <w:bookmarkStart w:id="150" w:name="_Toc11097"/>
      <w:bookmarkStart w:id="151" w:name="_Toc3111"/>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改进方向</w:t>
      </w:r>
      <w:bookmarkEnd w:id="150"/>
      <w:bookmarkEnd w:id="151"/>
    </w:p>
    <w:p w14:paraId="08638EC2">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1.</w:t>
      </w:r>
      <w:r>
        <w:rPr>
          <w:rFonts w:hint="default" w:ascii="Times New Roman" w:hAnsi="Times New Roman" w:eastAsia="宋体" w:cs="Times New Roman"/>
          <w:sz w:val="22"/>
          <w:szCs w:val="22"/>
          <w:lang w:val="en-US" w:eastAsia="zh-CN"/>
        </w:rPr>
        <w:t>引入动态干预模型，根据患者每月痰湿积分、活动能力变化实时调整干预强度与频率。</w:t>
      </w:r>
    </w:p>
    <w:p w14:paraId="333628F2">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2.</w:t>
      </w:r>
      <w:r>
        <w:rPr>
          <w:rFonts w:hint="default" w:ascii="Times New Roman" w:hAnsi="Times New Roman" w:eastAsia="宋体" w:cs="Times New Roman"/>
          <w:sz w:val="22"/>
          <w:szCs w:val="22"/>
          <w:lang w:val="en-US" w:eastAsia="zh-CN"/>
        </w:rPr>
        <w:t>融合深度学习与可解释AI，在保证精度的同时，纳入更多体质、行为特征完善风险规则。</w:t>
      </w:r>
    </w:p>
    <w:p w14:paraId="744FBAC7">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3.</w:t>
      </w:r>
      <w:r>
        <w:rPr>
          <w:rFonts w:hint="default" w:ascii="Times New Roman" w:hAnsi="Times New Roman" w:eastAsia="宋体" w:cs="Times New Roman"/>
          <w:sz w:val="22"/>
          <w:szCs w:val="22"/>
          <w:lang w:val="en-US" w:eastAsia="zh-CN"/>
        </w:rPr>
        <w:t>扩大样本范围，增加地域、年龄、生活习惯等维度数据，提升模型泛化性与普适性。</w:t>
      </w:r>
    </w:p>
    <w:p w14:paraId="477DD6B1">
      <w:pPr>
        <w:ind w:firstLine="440" w:firstLineChars="200"/>
        <w:jc w:val="both"/>
        <w:rPr>
          <w:rFonts w:hint="default" w:ascii="Times New Roman" w:hAnsi="Times New Roman" w:eastAsia="宋体" w:cs="Times New Roman"/>
          <w:sz w:val="22"/>
          <w:szCs w:val="22"/>
          <w:lang w:val="en-US" w:eastAsia="zh-CN"/>
        </w:rPr>
      </w:pPr>
      <w:r>
        <w:rPr>
          <w:rFonts w:hint="eastAsia" w:cs="Times New Roman"/>
          <w:sz w:val="22"/>
          <w:szCs w:val="22"/>
          <w:lang w:val="en-US" w:eastAsia="zh-CN"/>
        </w:rPr>
        <w:t>4.</w:t>
      </w:r>
      <w:r>
        <w:rPr>
          <w:rFonts w:hint="default" w:ascii="Times New Roman" w:hAnsi="Times New Roman" w:eastAsia="宋体" w:cs="Times New Roman"/>
          <w:sz w:val="22"/>
          <w:szCs w:val="22"/>
          <w:lang w:val="en-US" w:eastAsia="zh-CN"/>
        </w:rPr>
        <w:t>结合时间序列分析，长期追踪患者指标变化，优化风险预警与干预效果评估体系。</w:t>
      </w:r>
    </w:p>
    <w:p w14:paraId="65B0A09F">
      <w:pPr>
        <w:jc w:val="center"/>
        <w:rPr>
          <w:rFonts w:hint="eastAsia" w:cs="Times New Roman"/>
          <w:b/>
          <w:bCs/>
          <w:sz w:val="28"/>
          <w:szCs w:val="28"/>
          <w:lang w:val="en-US" w:eastAsia="zh-CN"/>
        </w:rPr>
      </w:pPr>
    </w:p>
    <w:p w14:paraId="298C1540">
      <w:pPr>
        <w:numPr>
          <w:ilvl w:val="0"/>
          <w:numId w:val="0"/>
        </w:numPr>
        <w:ind w:left="0" w:leftChars="0" w:firstLine="0" w:firstLineChars="0"/>
        <w:jc w:val="center"/>
        <w:outlineLvl w:val="0"/>
        <w:rPr>
          <w:rFonts w:hint="eastAsia" w:ascii="Times New Roman" w:hAnsi="Times New Roman" w:eastAsia="宋体" w:cs="Times New Roman"/>
          <w:b/>
          <w:bCs/>
          <w:sz w:val="24"/>
          <w:szCs w:val="24"/>
          <w:lang w:val="en-US" w:eastAsia="zh-CN"/>
        </w:rPr>
      </w:pPr>
      <w:bookmarkStart w:id="152" w:name="_Toc3658"/>
      <w:bookmarkStart w:id="153" w:name="_Toc13482"/>
      <w:r>
        <w:rPr>
          <w:rFonts w:hint="eastAsia" w:ascii="Times New Roman" w:hAnsi="Times New Roman" w:eastAsia="宋体" w:cs="Times New Roman"/>
          <w:b/>
          <w:bCs/>
          <w:sz w:val="24"/>
          <w:szCs w:val="24"/>
          <w:lang w:val="en-US" w:eastAsia="zh-CN"/>
        </w:rPr>
        <w:t>参考文献</w:t>
      </w:r>
      <w:bookmarkEnd w:id="152"/>
      <w:bookmarkEnd w:id="153"/>
    </w:p>
    <w:p w14:paraId="2476B2F7">
      <w:pPr>
        <w:jc w:val="both"/>
        <w:rPr>
          <w:rFonts w:hint="default" w:cs="Times New Roman"/>
          <w:sz w:val="22"/>
          <w:szCs w:val="22"/>
          <w:lang w:val="en-US" w:eastAsia="zh-CN"/>
        </w:rPr>
      </w:pPr>
      <w:r>
        <w:rPr>
          <w:rFonts w:hint="default" w:cs="Times New Roman"/>
          <w:sz w:val="22"/>
          <w:szCs w:val="22"/>
          <w:lang w:val="en-US" w:eastAsia="zh-CN"/>
        </w:rPr>
        <w:t>[1] 木尼热∙木塔力甫, 李晓梅. 血脂异常流行现状及相关危险因素[J]. 临床医学进展, 2023, 13(11): 17090-17098.</w:t>
      </w:r>
    </w:p>
    <w:p w14:paraId="6EC3AFA7">
      <w:pPr>
        <w:jc w:val="both"/>
        <w:rPr>
          <w:rFonts w:hint="default" w:cs="Times New Roman"/>
          <w:sz w:val="22"/>
          <w:szCs w:val="22"/>
          <w:lang w:val="en-US" w:eastAsia="zh-CN"/>
        </w:rPr>
      </w:pPr>
      <w:r>
        <w:rPr>
          <w:rFonts w:hint="default" w:cs="Times New Roman"/>
          <w:sz w:val="22"/>
          <w:szCs w:val="22"/>
          <w:lang w:val="en-US" w:eastAsia="zh-CN"/>
        </w:rPr>
        <w:t>[2] 中国心血管健康与疾病报告编写组. 中国心血管健康与疾病报告 2022 概要[J]. 中国循环杂志, 2023, 38(06): 583-612.</w:t>
      </w:r>
    </w:p>
    <w:p w14:paraId="27233B1C">
      <w:pPr>
        <w:jc w:val="both"/>
        <w:rPr>
          <w:rFonts w:hint="default" w:cs="Times New Roman"/>
          <w:sz w:val="22"/>
          <w:szCs w:val="22"/>
          <w:lang w:val="en-US" w:eastAsia="zh-CN"/>
        </w:rPr>
      </w:pPr>
      <w:r>
        <w:rPr>
          <w:rFonts w:hint="default" w:cs="Times New Roman"/>
          <w:sz w:val="22"/>
          <w:szCs w:val="22"/>
          <w:lang w:val="en-US" w:eastAsia="zh-CN"/>
        </w:rPr>
        <w:t>[3] 安冬青, 吴宗贵, 梁春, 等. 血脂异常中西医结合诊疗专家共识[J]. 中国全科医学, 2017, 20(3): 262-269.</w:t>
      </w:r>
    </w:p>
    <w:p w14:paraId="50968594">
      <w:pPr>
        <w:jc w:val="both"/>
        <w:rPr>
          <w:rFonts w:hint="default" w:cs="Times New Roman"/>
          <w:sz w:val="22"/>
          <w:szCs w:val="22"/>
          <w:lang w:val="en-US" w:eastAsia="zh-CN"/>
        </w:rPr>
      </w:pPr>
      <w:r>
        <w:rPr>
          <w:rFonts w:hint="default" w:cs="Times New Roman"/>
          <w:sz w:val="22"/>
          <w:szCs w:val="22"/>
          <w:lang w:val="en-US" w:eastAsia="zh-CN"/>
        </w:rPr>
        <w:t>[4] 戴宇充, 李卓娴, 黄国东, 等. 中西医结合治疗高脂血症的研究进展[J]. 亚太传统医药, 2024, 20(01): 215-219.</w:t>
      </w:r>
    </w:p>
    <w:p w14:paraId="56329BAB">
      <w:pPr>
        <w:jc w:val="both"/>
        <w:rPr>
          <w:rFonts w:hint="default" w:cs="Times New Roman"/>
          <w:sz w:val="22"/>
          <w:szCs w:val="22"/>
          <w:lang w:val="en-US" w:eastAsia="zh-CN"/>
        </w:rPr>
      </w:pPr>
      <w:r>
        <w:rPr>
          <w:rFonts w:hint="default" w:cs="Times New Roman"/>
          <w:sz w:val="22"/>
          <w:szCs w:val="22"/>
          <w:lang w:val="en-US" w:eastAsia="zh-CN"/>
        </w:rPr>
        <w:t>[5] 程卓卓, 张睿, 胡娇, 等. 老年人慢性病共病与日常生活活动能力受损的关联研究[J]. 中国全科医学, 2026, 29(02): 219-225.</w:t>
      </w:r>
    </w:p>
    <w:p w14:paraId="62699C92">
      <w:pPr>
        <w:jc w:val="both"/>
        <w:rPr>
          <w:rFonts w:hint="default" w:cs="Times New Roman"/>
          <w:sz w:val="22"/>
          <w:szCs w:val="22"/>
          <w:lang w:val="en-US" w:eastAsia="zh-CN"/>
        </w:rPr>
      </w:pPr>
      <w:r>
        <w:rPr>
          <w:rFonts w:hint="default" w:cs="Times New Roman"/>
          <w:sz w:val="22"/>
          <w:szCs w:val="22"/>
          <w:lang w:val="en-US" w:eastAsia="zh-CN"/>
        </w:rPr>
        <w:t>[6] 中国血脂管理指南修订联合专家委员会. 中国血脂管理指南(2023年)[J]. 中华心血管病杂志, 2023, 51(03): 221-255.</w:t>
      </w:r>
    </w:p>
    <w:sectPr>
      <w:headerReference r:id="rId4" w:type="default"/>
      <w:footerReference r:id="rId5"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Mincho">
    <w:altName w:val="Docktrin"/>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Docktrin">
    <w:panose1 w:val="02000500000000000000"/>
    <w:charset w:val="00"/>
    <w:family w:val="auto"/>
    <w:pitch w:val="default"/>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3CE6">
    <w:pPr>
      <w:pStyle w:val="8"/>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E1E4C">
    <w:pPr>
      <w:pStyle w:val="8"/>
      <w:jc w:val="center"/>
      <w:rPr>
        <w:rFonts w:hint="eastAsia"/>
      </w:rP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BB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A25A1"/>
    <w:multiLevelType w:val="singleLevel"/>
    <w:tmpl w:val="9E0A25A1"/>
    <w:lvl w:ilvl="0" w:tentative="0">
      <w:start w:val="3"/>
      <w:numFmt w:val="chineseCounting"/>
      <w:suff w:val="nothing"/>
      <w:lvlText w:val="%1、"/>
      <w:lvlJc w:val="left"/>
      <w:rPr>
        <w:rFonts w:hint="eastAsia"/>
      </w:rPr>
    </w:lvl>
  </w:abstractNum>
  <w:abstractNum w:abstractNumId="1">
    <w:nsid w:val="70AD9D60"/>
    <w:multiLevelType w:val="singleLevel"/>
    <w:tmpl w:val="70AD9D6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37241"/>
    <w:rsid w:val="008A6FF6"/>
    <w:rsid w:val="008C49C8"/>
    <w:rsid w:val="009933F6"/>
    <w:rsid w:val="009E2E37"/>
    <w:rsid w:val="00A76F18"/>
    <w:rsid w:val="00A956B2"/>
    <w:rsid w:val="00AA7FF4"/>
    <w:rsid w:val="00B049DA"/>
    <w:rsid w:val="00B1618E"/>
    <w:rsid w:val="00B43272"/>
    <w:rsid w:val="00BD553E"/>
    <w:rsid w:val="00BF6747"/>
    <w:rsid w:val="00BF6D01"/>
    <w:rsid w:val="00C319BE"/>
    <w:rsid w:val="00C450AF"/>
    <w:rsid w:val="00C7724D"/>
    <w:rsid w:val="00CB4990"/>
    <w:rsid w:val="00D12033"/>
    <w:rsid w:val="00D330FE"/>
    <w:rsid w:val="00E35C50"/>
    <w:rsid w:val="00F310BE"/>
    <w:rsid w:val="00F37167"/>
    <w:rsid w:val="00F96DB7"/>
    <w:rsid w:val="01396E1E"/>
    <w:rsid w:val="028710B6"/>
    <w:rsid w:val="02BD5D0D"/>
    <w:rsid w:val="039842CF"/>
    <w:rsid w:val="03C020B7"/>
    <w:rsid w:val="0514006B"/>
    <w:rsid w:val="05C1727E"/>
    <w:rsid w:val="066B1C96"/>
    <w:rsid w:val="07F20818"/>
    <w:rsid w:val="082F4DFA"/>
    <w:rsid w:val="087D297A"/>
    <w:rsid w:val="08B6781C"/>
    <w:rsid w:val="08C0216A"/>
    <w:rsid w:val="08EC64B1"/>
    <w:rsid w:val="09212671"/>
    <w:rsid w:val="092A3D98"/>
    <w:rsid w:val="0A1C72DC"/>
    <w:rsid w:val="0A9E16FB"/>
    <w:rsid w:val="0AA97A8C"/>
    <w:rsid w:val="0B231954"/>
    <w:rsid w:val="0B930140"/>
    <w:rsid w:val="0BFA0333"/>
    <w:rsid w:val="0D631E83"/>
    <w:rsid w:val="0D847672"/>
    <w:rsid w:val="0D9C32E2"/>
    <w:rsid w:val="0DA53BF1"/>
    <w:rsid w:val="0EAB349F"/>
    <w:rsid w:val="0F20565C"/>
    <w:rsid w:val="0F9B0829"/>
    <w:rsid w:val="0FDB17E5"/>
    <w:rsid w:val="10441F3B"/>
    <w:rsid w:val="108A5F33"/>
    <w:rsid w:val="110A4333"/>
    <w:rsid w:val="11C101AE"/>
    <w:rsid w:val="11F1104F"/>
    <w:rsid w:val="1283026C"/>
    <w:rsid w:val="13EE74BE"/>
    <w:rsid w:val="144B0EEA"/>
    <w:rsid w:val="146B67F8"/>
    <w:rsid w:val="14EE06E6"/>
    <w:rsid w:val="154C2C7E"/>
    <w:rsid w:val="15EC4D86"/>
    <w:rsid w:val="16F75866"/>
    <w:rsid w:val="176F3141"/>
    <w:rsid w:val="177E5132"/>
    <w:rsid w:val="18A64941"/>
    <w:rsid w:val="19AC7D2F"/>
    <w:rsid w:val="1A2972F9"/>
    <w:rsid w:val="1A750A6F"/>
    <w:rsid w:val="1A846F04"/>
    <w:rsid w:val="1B0659E2"/>
    <w:rsid w:val="1B6E410D"/>
    <w:rsid w:val="1B940F44"/>
    <w:rsid w:val="1BB630ED"/>
    <w:rsid w:val="1C3B7FDD"/>
    <w:rsid w:val="1D0048A3"/>
    <w:rsid w:val="1D453D13"/>
    <w:rsid w:val="1DA82520"/>
    <w:rsid w:val="210821C0"/>
    <w:rsid w:val="215A6747"/>
    <w:rsid w:val="217952E8"/>
    <w:rsid w:val="245A2B22"/>
    <w:rsid w:val="26044B46"/>
    <w:rsid w:val="284A5CA4"/>
    <w:rsid w:val="28F87750"/>
    <w:rsid w:val="294F2DD3"/>
    <w:rsid w:val="29D25B2C"/>
    <w:rsid w:val="2A172D9D"/>
    <w:rsid w:val="2A7478B3"/>
    <w:rsid w:val="2AC944BF"/>
    <w:rsid w:val="2B3C2B7F"/>
    <w:rsid w:val="2B5605C8"/>
    <w:rsid w:val="2BA2368E"/>
    <w:rsid w:val="2D0533E4"/>
    <w:rsid w:val="2DEA4459"/>
    <w:rsid w:val="2E801657"/>
    <w:rsid w:val="2F850F05"/>
    <w:rsid w:val="30797214"/>
    <w:rsid w:val="30D46714"/>
    <w:rsid w:val="31AD1B8F"/>
    <w:rsid w:val="31C04FAC"/>
    <w:rsid w:val="320D2EAD"/>
    <w:rsid w:val="321F664B"/>
    <w:rsid w:val="322F37A1"/>
    <w:rsid w:val="33EC463C"/>
    <w:rsid w:val="35152E25"/>
    <w:rsid w:val="354A1FFA"/>
    <w:rsid w:val="35650626"/>
    <w:rsid w:val="35661288"/>
    <w:rsid w:val="356A0331"/>
    <w:rsid w:val="35C366DA"/>
    <w:rsid w:val="35D22DC1"/>
    <w:rsid w:val="36127845"/>
    <w:rsid w:val="36173D86"/>
    <w:rsid w:val="36453517"/>
    <w:rsid w:val="36D16BD5"/>
    <w:rsid w:val="374028EC"/>
    <w:rsid w:val="37541156"/>
    <w:rsid w:val="38D75A4F"/>
    <w:rsid w:val="3B023801"/>
    <w:rsid w:val="3B235613"/>
    <w:rsid w:val="3BAE7776"/>
    <w:rsid w:val="3D471A96"/>
    <w:rsid w:val="3EE86FC3"/>
    <w:rsid w:val="3FBE37A3"/>
    <w:rsid w:val="400B001F"/>
    <w:rsid w:val="40CB045E"/>
    <w:rsid w:val="40EF2A79"/>
    <w:rsid w:val="41A941D3"/>
    <w:rsid w:val="41CA6CFC"/>
    <w:rsid w:val="41DF121F"/>
    <w:rsid w:val="441E71D2"/>
    <w:rsid w:val="44C35AE0"/>
    <w:rsid w:val="45BA6F71"/>
    <w:rsid w:val="462F49B1"/>
    <w:rsid w:val="48623B31"/>
    <w:rsid w:val="48AC05C9"/>
    <w:rsid w:val="48F8642B"/>
    <w:rsid w:val="492B6619"/>
    <w:rsid w:val="4A183041"/>
    <w:rsid w:val="4A1D4FA7"/>
    <w:rsid w:val="4A6D27A8"/>
    <w:rsid w:val="4A8401CF"/>
    <w:rsid w:val="4AAF6DD6"/>
    <w:rsid w:val="4C60425D"/>
    <w:rsid w:val="4CAE3FDC"/>
    <w:rsid w:val="4CB53967"/>
    <w:rsid w:val="4CDB0356"/>
    <w:rsid w:val="4CE0771A"/>
    <w:rsid w:val="4D0C4375"/>
    <w:rsid w:val="4D6C5694"/>
    <w:rsid w:val="4E234053"/>
    <w:rsid w:val="4E745EC6"/>
    <w:rsid w:val="4EE44E41"/>
    <w:rsid w:val="4FC46AED"/>
    <w:rsid w:val="50B463F5"/>
    <w:rsid w:val="50C82E97"/>
    <w:rsid w:val="51181B78"/>
    <w:rsid w:val="52272A53"/>
    <w:rsid w:val="53774CFF"/>
    <w:rsid w:val="556357A4"/>
    <w:rsid w:val="55B442A9"/>
    <w:rsid w:val="584B64EC"/>
    <w:rsid w:val="58BE3005"/>
    <w:rsid w:val="59BC3DC4"/>
    <w:rsid w:val="59E20F76"/>
    <w:rsid w:val="5AC05BF0"/>
    <w:rsid w:val="5BDB5443"/>
    <w:rsid w:val="5C063D09"/>
    <w:rsid w:val="5D245401"/>
    <w:rsid w:val="5D3D64C3"/>
    <w:rsid w:val="5DF012AB"/>
    <w:rsid w:val="5E1B7B71"/>
    <w:rsid w:val="5E953A6E"/>
    <w:rsid w:val="5E96232F"/>
    <w:rsid w:val="5F322057"/>
    <w:rsid w:val="5F7F185A"/>
    <w:rsid w:val="5FB532EA"/>
    <w:rsid w:val="61AE54CE"/>
    <w:rsid w:val="62797F9D"/>
    <w:rsid w:val="638C5AAE"/>
    <w:rsid w:val="63AF1BBA"/>
    <w:rsid w:val="63E30CF1"/>
    <w:rsid w:val="654C6FBE"/>
    <w:rsid w:val="672D4F56"/>
    <w:rsid w:val="67C95523"/>
    <w:rsid w:val="69020CEC"/>
    <w:rsid w:val="6A3D22DA"/>
    <w:rsid w:val="6AD761A9"/>
    <w:rsid w:val="6B191DA8"/>
    <w:rsid w:val="6BAA7419"/>
    <w:rsid w:val="6C27618E"/>
    <w:rsid w:val="6C722FF1"/>
    <w:rsid w:val="6DAA1F76"/>
    <w:rsid w:val="6DC5678C"/>
    <w:rsid w:val="6DCE3893"/>
    <w:rsid w:val="6E4B6C92"/>
    <w:rsid w:val="700E15EF"/>
    <w:rsid w:val="70EB475C"/>
    <w:rsid w:val="716A38D3"/>
    <w:rsid w:val="71FA350A"/>
    <w:rsid w:val="724E7F90"/>
    <w:rsid w:val="729D1A86"/>
    <w:rsid w:val="749D7361"/>
    <w:rsid w:val="755C3876"/>
    <w:rsid w:val="76001861"/>
    <w:rsid w:val="76FB48C2"/>
    <w:rsid w:val="77E93077"/>
    <w:rsid w:val="795B3127"/>
    <w:rsid w:val="7A0B54C9"/>
    <w:rsid w:val="7A291E51"/>
    <w:rsid w:val="7A8F7CA1"/>
    <w:rsid w:val="7B29035B"/>
    <w:rsid w:val="7B373932"/>
    <w:rsid w:val="7CA60690"/>
    <w:rsid w:val="7CBA3AAE"/>
    <w:rsid w:val="7E5F4093"/>
    <w:rsid w:val="7FA91A6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7">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1260"/>
      <w:jc w:val="left"/>
    </w:pPr>
    <w:rPr>
      <w:rFonts w:ascii="Calibri" w:hAnsi="Calibri"/>
      <w:sz w:val="20"/>
      <w:szCs w:val="20"/>
    </w:rPr>
  </w:style>
  <w:style w:type="paragraph" w:styleId="4">
    <w:name w:val="toc 5"/>
    <w:basedOn w:val="1"/>
    <w:next w:val="1"/>
    <w:unhideWhenUsed/>
    <w:qFormat/>
    <w:uiPriority w:val="39"/>
    <w:pPr>
      <w:ind w:left="840"/>
      <w:jc w:val="left"/>
    </w:pPr>
    <w:rPr>
      <w:rFonts w:ascii="Calibri" w:hAnsi="Calibri"/>
      <w:sz w:val="20"/>
      <w:szCs w:val="20"/>
    </w:rPr>
  </w:style>
  <w:style w:type="paragraph" w:styleId="5">
    <w:name w:val="toc 3"/>
    <w:basedOn w:val="1"/>
    <w:next w:val="1"/>
    <w:unhideWhenUsed/>
    <w:qFormat/>
    <w:uiPriority w:val="39"/>
    <w:pPr>
      <w:ind w:left="420"/>
      <w:jc w:val="left"/>
    </w:pPr>
    <w:rPr>
      <w:rFonts w:ascii="Calibri" w:hAnsi="Calibri"/>
      <w:sz w:val="22"/>
    </w:rPr>
  </w:style>
  <w:style w:type="paragraph" w:styleId="6">
    <w:name w:val="toc 8"/>
    <w:basedOn w:val="1"/>
    <w:next w:val="1"/>
    <w:unhideWhenUsed/>
    <w:uiPriority w:val="39"/>
    <w:pPr>
      <w:ind w:left="1470"/>
      <w:jc w:val="left"/>
    </w:pPr>
    <w:rPr>
      <w:rFonts w:ascii="Calibri" w:hAnsi="Calibri"/>
      <w:sz w:val="20"/>
      <w:szCs w:val="20"/>
    </w:rPr>
  </w:style>
  <w:style w:type="paragraph" w:styleId="7">
    <w:name w:val="Balloon Text"/>
    <w:basedOn w:val="1"/>
    <w:link w:val="19"/>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pPr>
      <w:spacing w:before="120"/>
      <w:jc w:val="left"/>
    </w:pPr>
    <w:rPr>
      <w:rFonts w:ascii="Calibri" w:hAnsi="Calibri"/>
      <w:b/>
      <w:sz w:val="24"/>
      <w:szCs w:val="24"/>
    </w:rPr>
  </w:style>
  <w:style w:type="paragraph" w:styleId="11">
    <w:name w:val="toc 4"/>
    <w:basedOn w:val="1"/>
    <w:next w:val="1"/>
    <w:unhideWhenUsed/>
    <w:qFormat/>
    <w:uiPriority w:val="39"/>
    <w:pPr>
      <w:ind w:left="630"/>
      <w:jc w:val="left"/>
    </w:pPr>
    <w:rPr>
      <w:rFonts w:ascii="Calibri" w:hAnsi="Calibri"/>
      <w:sz w:val="20"/>
      <w:szCs w:val="20"/>
    </w:rPr>
  </w:style>
  <w:style w:type="paragraph" w:styleId="12">
    <w:name w:val="toc 6"/>
    <w:basedOn w:val="1"/>
    <w:next w:val="1"/>
    <w:unhideWhenUsed/>
    <w:qFormat/>
    <w:uiPriority w:val="39"/>
    <w:pPr>
      <w:ind w:left="1050"/>
      <w:jc w:val="left"/>
    </w:pPr>
    <w:rPr>
      <w:rFonts w:ascii="Calibri" w:hAnsi="Calibri"/>
      <w:sz w:val="20"/>
      <w:szCs w:val="20"/>
    </w:rPr>
  </w:style>
  <w:style w:type="paragraph" w:styleId="13">
    <w:name w:val="toc 2"/>
    <w:basedOn w:val="1"/>
    <w:next w:val="1"/>
    <w:unhideWhenUsed/>
    <w:uiPriority w:val="39"/>
    <w:pPr>
      <w:ind w:left="210"/>
      <w:jc w:val="left"/>
    </w:pPr>
    <w:rPr>
      <w:rFonts w:ascii="Calibri" w:hAnsi="Calibri"/>
      <w:b/>
      <w:sz w:val="22"/>
    </w:rPr>
  </w:style>
  <w:style w:type="paragraph" w:styleId="14">
    <w:name w:val="toc 9"/>
    <w:basedOn w:val="1"/>
    <w:next w:val="1"/>
    <w:unhideWhenUsed/>
    <w:qFormat/>
    <w:uiPriority w:val="39"/>
    <w:pPr>
      <w:ind w:left="1680"/>
      <w:jc w:val="left"/>
    </w:pPr>
    <w:rPr>
      <w:rFonts w:ascii="Calibri" w:hAnsi="Calibri"/>
      <w:sz w:val="20"/>
      <w:szCs w:val="20"/>
    </w:rPr>
  </w:style>
  <w:style w:type="table" w:styleId="16">
    <w:name w:val="Table Grid"/>
    <w:basedOn w:val="1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字符"/>
    <w:link w:val="2"/>
    <w:qFormat/>
    <w:uiPriority w:val="9"/>
    <w:rPr>
      <w:b/>
      <w:bCs/>
      <w:kern w:val="44"/>
      <w:sz w:val="44"/>
      <w:szCs w:val="44"/>
    </w:rPr>
  </w:style>
  <w:style w:type="character" w:customStyle="1" w:styleId="19">
    <w:name w:val="批注框文本字符"/>
    <w:link w:val="7"/>
    <w:semiHidden/>
    <w:uiPriority w:val="99"/>
    <w:rPr>
      <w:sz w:val="18"/>
      <w:szCs w:val="18"/>
    </w:rPr>
  </w:style>
  <w:style w:type="character" w:customStyle="1" w:styleId="20">
    <w:name w:val="页脚字符"/>
    <w:link w:val="8"/>
    <w:qFormat/>
    <w:uiPriority w:val="99"/>
    <w:rPr>
      <w:sz w:val="18"/>
      <w:szCs w:val="18"/>
    </w:rPr>
  </w:style>
  <w:style w:type="character" w:customStyle="1" w:styleId="21">
    <w:name w:val="页眉字符"/>
    <w:link w:val="9"/>
    <w:uiPriority w:val="99"/>
    <w:rPr>
      <w:sz w:val="18"/>
      <w:szCs w:val="18"/>
    </w:rPr>
  </w:style>
  <w:style w:type="paragraph" w:customStyle="1" w:styleId="22">
    <w:name w:val="_Style 21"/>
    <w:basedOn w:val="2"/>
    <w:next w:val="1"/>
    <w:unhideWhenUsed/>
    <w:qFormat/>
    <w:uiPriority w:val="39"/>
    <w:pPr>
      <w:widowControl/>
      <w:spacing w:before="480" w:after="0" w:line="276" w:lineRule="auto"/>
      <w:jc w:val="left"/>
      <w:outlineLvl w:val="9"/>
    </w:pPr>
    <w:rPr>
      <w:rFonts w:ascii="Calibri Light" w:hAnsi="Calibri Light" w:eastAsia="宋体" w:cs="Times New Roman"/>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29</Pages>
  <Words>36</Words>
  <Characters>44</Characters>
  <Lines>1</Lines>
  <Paragraphs>1</Paragraphs>
  <TotalTime>5</TotalTime>
  <ScaleCrop>false</ScaleCrop>
  <LinksUpToDate>false</LinksUpToDate>
  <CharactersWithSpaces>48</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2016-11-15T02:16:00Z</dcterms:created>
  <dc:creator>Windows 用户</dc:creator>
  <cp:lastModifiedBy>WPS</cp:lastModifiedBy>
  <dcterms:modified xsi:type="dcterms:W3CDTF">2026-04-19T09:13:00Z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669D55B67BF14AE09A6EA8246209A02E_13</vt:lpwstr>
  </property>
  <property fmtid="{D5CDD505-2E9C-101B-9397-08002B2CF9AE}" pid="4" name="KSOTemplateDocerSaveRecord">
    <vt:lpwstr>eyJoZGlkIjoiODE5YTU2NGZjYmU5ZmUxMWM0NDgxZjIxOThlZjQ1ZGMiLCJ1c2VySWQiOiI1MzI3NTg0OTYifQ==</vt:lpwstr>
  </property>
</Properties>
</file>