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67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Calibri" w:hAnsi="Calibri" w:eastAsia="宋体" w:cs="Times New Roman"/>
          <w:b/>
          <w:bCs/>
          <w:color w:val="auto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auto"/>
          <w:sz w:val="28"/>
          <w:szCs w:val="36"/>
          <w:lang w:val="en-US" w:eastAsia="zh-CN"/>
        </w:rPr>
        <w:t>关于“自动化识别视频内是否存在满足 X 个主体的半分钟片段”项目的技术可行性说明</w:t>
      </w:r>
    </w:p>
    <w:p w14:paraId="13E6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Calibri" w:hAnsi="Calibri" w:eastAsia="宋体" w:cs="Times New Roman"/>
          <w:b/>
          <w:bCs/>
          <w:color w:val="auto"/>
          <w:lang w:val="en-US" w:eastAsia="zh-CN"/>
        </w:rPr>
      </w:pPr>
    </w:p>
    <w:p w14:paraId="35513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color w:val="auto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color w:val="auto"/>
          <w:lang w:val="en-US" w:eastAsia="zh-CN"/>
        </w:rPr>
        <w:t>核心结论</w:t>
      </w:r>
      <w:r>
        <w:rPr>
          <w:rFonts w:hint="eastAsia" w:ascii="Calibri" w:hAnsi="Calibri" w:eastAsia="宋体" w:cs="Times New Roman"/>
          <w:color w:val="auto"/>
          <w:lang w:val="en-US" w:eastAsia="zh-CN"/>
        </w:rPr>
        <w:t>：本项目要求系统自动判断一段视频中是否存在时长不超过 30 秒、出镜主体达到 X 人的片段。经评估，实现该需求所需的技术链路中，每一环节均存在当前条件下无法消除的障碍：公开数据不可用、自建数据不可行、模型无法跨风格泛化、主体判定缺乏可计算依据、结论正确性无法验证。此外，基于现有识别管线的实测结果表明，同一批视频在不同模型配置下的主体数预测在 1～10 人之间剧烈波动，不具备可信度。综上，该项目按现有要求技术上不可达，建议不予承接。</w:t>
      </w:r>
    </w:p>
    <w:p w14:paraId="4FB25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color w:val="auto"/>
          <w:lang w:val="en-US" w:eastAsia="zh-CN"/>
        </w:rPr>
      </w:pPr>
    </w:p>
    <w:p w14:paraId="7A6E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一、需求与技术链路</w:t>
      </w:r>
    </w:p>
    <w:p w14:paraId="6E9F08A0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该需求要求系统自动判断：给定视频中是否存在一段时长不超过 30 秒、出镜主体人数达到 X 的片段。完成该判断需依次打通以下五个技术环节：</w:t>
      </w:r>
    </w:p>
    <w:p w14:paraId="3C6CB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人物检测 → 镜头内跟踪/关联 → 跨镜头身份去重 → 滑窗内唯一身份计数 → 存在性判断</w:t>
      </w:r>
    </w:p>
    <w:p w14:paraId="50D5F57E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上述任一环节出错，都会直接传导为最终的计数错误。经逐项评估，各环节在当前技术与数据条件下均无法达到可交付的精度，具体分析如下。</w:t>
      </w:r>
    </w:p>
    <w:p w14:paraId="04781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二、影片风格多样，公开数据集无法支撑</w:t>
      </w:r>
    </w:p>
    <w:p w14:paraId="7BAD68B7">
      <w:pPr>
        <w:spacing w:before="0" w:after="140" w:line="360" w:lineRule="auto"/>
        <w:ind w:firstLine="480"/>
        <w:jc w:val="both"/>
        <w:rPr>
          <w:b w:val="0"/>
          <w:bCs w:val="0"/>
        </w:rPr>
      </w:pPr>
      <w:r>
        <w:rPr>
          <w:b w:val="0"/>
          <w:bCs w:val="0"/>
        </w:rPr>
        <w:t>目标素材同时涵盖真人影视、2D/3D 动画以及动画与 AIGC 混排的内容，三类素材的成像规律差异极大：真人影视依赖真实光照与物理遮挡，2D 动画以线条与色块为主，3D 动画则遵循另一套材质与运动规律。检测与重识别模型对画面风格高度敏感，在一种风格上有效的模型，迁移到另一种风格后精度会显著下降。</w:t>
      </w:r>
    </w:p>
    <w:p w14:paraId="0A727EC1">
      <w:pPr>
        <w:spacing w:before="0" w:after="140" w:line="360" w:lineRule="auto"/>
        <w:ind w:firstLine="480"/>
        <w:jc w:val="both"/>
        <w:rPr>
          <w:b w:val="0"/>
          <w:bCs w:val="0"/>
        </w:rPr>
      </w:pPr>
      <w:r>
        <w:rPr>
          <w:b w:val="0"/>
          <w:bCs w:val="0"/>
        </w:rPr>
        <w:t>现有公开的人物重识别（ReID）数据集均无法复用于该任务。图像类的 Market-1501、DukeMTMC-reID、MSMT17、CUHK03 与视频类的 MARS、DukeMTMC-VideoReID、iLIDS-VID，全部采集自固定监控摄像头下的行人，任务为同一人跨相机检索，不涉及影视镜头语言、动画画风或角色概念。影视相关的公开数据同样不匹配：iQIYI-VID 面向名人身份识别，AnimeRun 面向动画像素级对应与分割，均与“半分钟窗口内主体计数”任务无关。</w:t>
      </w:r>
    </w:p>
    <w:p w14:paraId="1F32E7A2">
      <w:pPr>
        <w:spacing w:before="0" w:after="140" w:line="360" w:lineRule="auto"/>
        <w:ind w:firstLine="480"/>
        <w:jc w:val="both"/>
        <w:rPr>
          <w:b w:val="0"/>
          <w:bCs w:val="0"/>
        </w:rPr>
      </w:pPr>
      <w:r>
        <w:rPr>
          <w:b w:val="0"/>
          <w:bCs w:val="0"/>
        </w:rPr>
        <w:t>因此，</w:t>
      </w:r>
      <w:r>
        <w:rPr>
          <w:b/>
          <w:bCs/>
        </w:rPr>
        <w:t>公开数据集中既不存在该任务的训练数据，也不存在可直接复用的预训练模型</w:t>
      </w:r>
      <w:r>
        <w:rPr>
          <w:b w:val="0"/>
          <w:bCs w:val="0"/>
        </w:rPr>
        <w:t>。</w:t>
      </w:r>
    </w:p>
    <w:p w14:paraId="186FD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三、“谁算主体”缺少可计算的判定依据</w:t>
      </w:r>
    </w:p>
    <w:p w14:paraId="4982CEC2">
      <w:pPr>
        <w:spacing w:before="0" w:after="140" w:line="360" w:lineRule="auto"/>
        <w:ind w:firstLine="480"/>
        <w:jc w:val="both"/>
        <w:rPr>
          <w:b w:val="0"/>
          <w:bCs w:val="0"/>
        </w:rPr>
      </w:pPr>
      <w:r>
        <w:rPr>
          <w:b w:val="0"/>
          <w:bCs w:val="0"/>
        </w:rPr>
        <w:t>主体计数并非简单的“画面里有几个人”，还要求区分主角、配角与路人。而“谁算主体”本质上取决于剧情走向、角色重要性与人物关系，并非纯粹的视觉特征：同一人物在一部作品中是背景路人，在另一部作品中可能是主角。算法只能感知“画面中出现了一个人”，无法判断“此人在故事中是否重要”。</w:t>
      </w:r>
    </w:p>
    <w:p w14:paraId="54D6B99F">
      <w:pPr>
        <w:spacing w:before="0" w:after="140" w:line="360" w:lineRule="auto"/>
        <w:ind w:firstLine="480"/>
        <w:jc w:val="both"/>
        <w:rPr>
          <w:b w:val="0"/>
          <w:bCs w:val="0"/>
        </w:rPr>
      </w:pPr>
      <w:r>
        <w:rPr>
          <w:b w:val="0"/>
          <w:bCs w:val="0"/>
        </w:rPr>
        <w:t>该问题不存在稳定的视觉判定标准，检测与重识别模型均无法直接回答，只能依赖剧本、角色表或人工先验知识；而这又导致标注口径难以统一，训练数据从源头上无法保证一致性。</w:t>
      </w:r>
    </w:p>
    <w:p w14:paraId="0A116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四、自建数据集同样不可行</w:t>
      </w:r>
    </w:p>
    <w:p w14:paraId="69130596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即使不考虑公开数据缺失的问题，自建一套可训练、可验收的数据集也极为困难。训练与验证至少需要以下四类标注：</w:t>
      </w:r>
    </w:p>
    <w:p w14:paraId="19347116">
      <w:pPr>
        <w:pStyle w:val="6"/>
        <w:numPr>
          <w:ilvl w:val="0"/>
          <w:numId w:val="2"/>
        </w:numPr>
        <w:spacing w:after="80" w:line="360" w:lineRule="auto"/>
        <w:jc w:val="both"/>
      </w:pPr>
      <w:r>
        <w:rPr>
          <w:b w:val="0"/>
          <w:bCs w:val="0"/>
        </w:rPr>
        <w:t>每一帧的人物检测框；</w:t>
      </w:r>
    </w:p>
    <w:p w14:paraId="060C208B">
      <w:pPr>
        <w:pStyle w:val="6"/>
        <w:numPr>
          <w:ilvl w:val="0"/>
          <w:numId w:val="2"/>
        </w:numPr>
        <w:spacing w:after="80" w:line="360" w:lineRule="auto"/>
        <w:jc w:val="both"/>
      </w:pPr>
      <w:r>
        <w:rPr>
          <w:b w:val="0"/>
          <w:bCs w:val="0"/>
        </w:rPr>
        <w:t>每个检测框跨镜头一致的身份 ID；</w:t>
      </w:r>
    </w:p>
    <w:p w14:paraId="772A55B8">
      <w:pPr>
        <w:pStyle w:val="6"/>
        <w:numPr>
          <w:ilvl w:val="0"/>
          <w:numId w:val="2"/>
        </w:numPr>
        <w:spacing w:after="80" w:line="360" w:lineRule="auto"/>
        <w:jc w:val="both"/>
      </w:pPr>
      <w:r>
        <w:rPr>
          <w:b w:val="0"/>
          <w:bCs w:val="0"/>
        </w:rPr>
        <w:t>每个半分钟窗口内的唯一主体数真值；</w:t>
      </w:r>
    </w:p>
    <w:p w14:paraId="1D17FBB7">
      <w:pPr>
        <w:pStyle w:val="6"/>
        <w:numPr>
          <w:ilvl w:val="0"/>
          <w:numId w:val="2"/>
        </w:numPr>
        <w:spacing w:after="80" w:line="360" w:lineRule="auto"/>
        <w:jc w:val="both"/>
      </w:pPr>
      <w:r>
        <w:rPr>
          <w:b w:val="0"/>
          <w:bCs w:val="0"/>
        </w:rPr>
        <w:t>明确且无歧义的计数规则。</w:t>
      </w:r>
    </w:p>
    <w:p w14:paraId="0B7C1B28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其中，跨镜头身份标注主观性强、成本高昂：同一角色因视角、光照、遮挡变化而外观差异大，形象相近的角色极易混淆；动画角色还需依赖服装、配色、发型等细粒度特征加以区分，标注员必须熟悉每一部作品。叠加“谁算主体”的语义歧义，不同标注员难以给出一致结果，必须多轮交叉审核，成本进一步放大。此外，数据规模须足够大并规范划分训练、验证、测试集，否则模型误差无从评估。可以说，项目在“造数据”这一步即难以完成，后续训练与验收更无从谈起。</w:t>
      </w:r>
    </w:p>
    <w:p w14:paraId="3CD52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五、“存在性判断”在逻辑上无法证明</w:t>
      </w:r>
    </w:p>
    <w:p w14:paraId="07568944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即使假设检测、去重、计数均已达到理想精度，需求仍要求系统在不存在满足条件片段时给出确定的否定结论。然而系统只能输出“未发现”，无法证明“确实不存在”：检测、身份去重、计数任一环节只要出现一次漏检，就会放过真实片段；而全片逐帧处理时，帧数越多，累计出错概率越高，不存在可证明的准确率保证。因此，“自动判断是否存在”这一输出形态本身即无法被可靠实现。</w:t>
      </w:r>
    </w:p>
    <w:p w14:paraId="5949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六、实测证据：现有管线输出剧烈波动</w:t>
      </w:r>
    </w:p>
    <w:p w14:paraId="09BC8B85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为客观评估可行性，团队已基于现有的“多主体参考”识别管线，对 9 段时长 19～30 秒的真实测试素材进行了四轮实测。四轮测试仅更换 ReID 模型后端与合并阈值，其余条件保持一致，同一视频的“合格主体数”预测结果即出现数倍波动：</w:t>
      </w:r>
    </w:p>
    <w:p w14:paraId="21B1A679">
      <w:pPr>
        <w:keepNext/>
        <w:spacing w:before="160" w:after="120"/>
        <w:jc w:val="center"/>
      </w:pPr>
      <w:r>
        <w:rPr>
          <w:rFonts w:ascii="Times New Roman" w:hAnsi="Times New Roman" w:eastAsia="微软雅黑"/>
          <w:b/>
          <w:bCs/>
          <w:sz w:val="22"/>
          <w:szCs w:val="22"/>
        </w:rPr>
        <w:t>表 1　同一批视频在不同模型配置下的主体数预测结果</w:t>
      </w:r>
    </w:p>
    <w:tbl>
      <w:tblPr>
        <w:tblStyle w:val="4"/>
        <w:tblW w:w="9026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800"/>
        <w:gridCol w:w="1200"/>
        <w:gridCol w:w="1300"/>
        <w:gridCol w:w="1300"/>
        <w:gridCol w:w="1200"/>
        <w:gridCol w:w="1000"/>
      </w:tblGrid>
      <w:tr w14:paraId="20F6A4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4E3F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测试视频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E2CF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时长(s)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2E83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OSNet（旧版）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694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OSNet-IBN τ=0.45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AA00B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OSNet-IBN τ=0.55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1C44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PersonViT τ=0.40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8FC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波动范围</w:t>
            </w:r>
          </w:p>
        </w:tc>
      </w:tr>
      <w:tr w14:paraId="529E21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0F4C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CDL李超超-人生路不熟-01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C0EF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29.77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1429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3E73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7A15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FA7E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394A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3~10</w:t>
            </w:r>
          </w:p>
        </w:tc>
      </w:tr>
      <w:tr w14:paraId="0C418C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EA47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CDL李超超-爱情神话-01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BCF0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30.00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72E2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D801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FF83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8D27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3F6E0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1~6</w:t>
            </w:r>
          </w:p>
        </w:tc>
      </w:tr>
      <w:tr w14:paraId="05871F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81B6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DJN-01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C245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30.00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5B33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E4E2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112D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355A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09F0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1~3</w:t>
            </w:r>
          </w:p>
        </w:tc>
      </w:tr>
      <w:tr w14:paraId="5C88A9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5143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DJN-02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4327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20.13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E6B7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1D84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1072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FE25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D885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1~9</w:t>
            </w:r>
          </w:p>
        </w:tc>
      </w:tr>
      <w:tr w14:paraId="480039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2BEB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DJN-03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9024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30.30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2E33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FF53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FB01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1FF4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7B85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4~10</w:t>
            </w:r>
          </w:p>
        </w:tc>
      </w:tr>
      <w:tr w14:paraId="165E8C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258B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DJN-04 (1)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CC00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19.23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C555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D05B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D6E01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388D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AD45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1~4</w:t>
            </w:r>
          </w:p>
        </w:tc>
      </w:tr>
      <w:tr w14:paraId="376A07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7999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DJN-04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B677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26.93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8A4E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2310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DB97E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6FD40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6069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1~4</w:t>
            </w:r>
          </w:p>
        </w:tc>
      </w:tr>
      <w:tr w14:paraId="50F34F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1F74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DYL-01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086D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29.64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DC91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DF49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8F8E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0DDA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1300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1~5</w:t>
            </w:r>
          </w:p>
        </w:tc>
      </w:tr>
      <w:tr w14:paraId="13FC2D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8AC3">
            <w:pPr>
              <w:spacing w:line="280" w:lineRule="auto"/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KL-01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F60F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28.56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6458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8208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2DC0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D2D1">
            <w:pPr>
              <w:spacing w:line="280" w:lineRule="auto"/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E0DF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2~4</w:t>
            </w:r>
          </w:p>
        </w:tc>
      </w:tr>
      <w:tr w14:paraId="12789A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7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noWrap w:val="0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F0C782">
            <w:pPr>
              <w:spacing w:line="300" w:lineRule="auto"/>
            </w:pPr>
            <w:r>
              <w:rPr>
                <w:color w:val="808080"/>
                <w:sz w:val="20"/>
                <w:szCs w:val="20"/>
              </w:rPr>
              <w:t>注：四轮测试仅更换 ReID 模型后端与合并阈值；“波动范围”为同一视频在四种配置下的预测区间。</w:t>
            </w:r>
          </w:p>
        </w:tc>
      </w:tr>
    </w:tbl>
    <w:p w14:paraId="49DA1056">
      <w:pPr>
        <w:spacing w:before="40" w:after="160"/>
      </w:pPr>
    </w:p>
    <w:p w14:paraId="7C0D91D7">
      <w:pPr>
        <w:spacing w:before="0" w:after="140" w:line="360" w:lineRule="auto"/>
        <w:ind w:firstLine="480"/>
        <w:jc w:val="both"/>
      </w:pPr>
      <w:r>
        <w:rPr>
          <w:b w:val="0"/>
          <w:bCs w:val="0"/>
        </w:rPr>
        <w:t>同一段视频的预测人数可从 1 跳至 10，说明当前输出主要受模型配置与阈值选择支配，而非对真实主体数量的稳定测量。在无逐窗口真值标注的情况下，该管线无法给出任何可信的计数结论，只能作为后续研究的基线代码，不具备交付条件。</w:t>
      </w:r>
    </w:p>
    <w:p w14:paraId="5EC9A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auto"/>
          <w:kern w:val="2"/>
          <w:sz w:val="21"/>
          <w:szCs w:val="24"/>
          <w:lang w:val="en-US" w:eastAsia="zh-CN" w:bidi="ar-SA"/>
        </w:rPr>
        <w:t>七、结论与建议</w:t>
      </w:r>
    </w:p>
    <w:p w14:paraId="473581E1">
      <w:pPr>
        <w:spacing w:before="0" w:after="140" w:line="360" w:lineRule="auto"/>
        <w:ind w:firstLine="480"/>
        <w:jc w:val="both"/>
        <w:rPr>
          <w:rFonts w:ascii="Times New Roman" w:hAnsi="Times New Roman" w:eastAsia="微软雅黑"/>
          <w:b/>
          <w:bCs/>
          <w:color w:val="auto"/>
          <w:sz w:val="40"/>
          <w:szCs w:val="40"/>
        </w:rPr>
      </w:pPr>
      <w:r>
        <w:rPr>
          <w:b w:val="0"/>
          <w:bCs w:val="0"/>
        </w:rPr>
        <w:t>综上，该需求所依赖的“检测 → 跨镜头身份去重 → 滑窗计数 → 存在性判断”链路，在当前条件下无公开数据支撑、自建数据集难度过高、模型无法跨风格泛化、主体判定缺乏可计算依据、输出结论无法验证，且实测结果剧烈波动，技术上不可达。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400"/>
      </w:pPr>
    </w:lvl>
  </w:abstractNum>
  <w:abstractNum w:abstractNumId="1">
    <w:nsid w:val="01F5F045"/>
    <w:multiLevelType w:val="singleLevel"/>
    <w:tmpl w:val="01F5F045"/>
    <w:lvl w:ilvl="0" w:tentative="0">
      <w:start w:val="1"/>
      <w:numFmt w:val="decimal"/>
      <w:pStyle w:val="3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996681"/>
    <w:rsid w:val="4C7978EA"/>
    <w:rsid w:val="569E102E"/>
    <w:rsid w:val="5ECA2103"/>
    <w:rsid w:val="6C7269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20" w:after="180"/>
      <w:outlineLvl w:val="0"/>
    </w:pPr>
    <w:rPr>
      <w:rFonts w:ascii="Times New Roman" w:hAnsi="Times New Roman" w:eastAsia="微软雅黑" w:cs="Times New Roman"/>
      <w:b/>
      <w:bCs/>
      <w:color w:val="1F3864"/>
      <w:sz w:val="28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" w:cs="Times New Roman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2024-09-12T12:49:00Z</dcterms:created>
  <dc:creator>Lenovo</dc:creator>
  <cp:lastModifiedBy>WPS</cp:lastModifiedBy>
  <dcterms:modified xsi:type="dcterms:W3CDTF">2026-08-11T05:09:29Z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3B15E7A2E697431C96BC881B245BE798_13</vt:lpwstr>
  </property>
  <property fmtid="{D5CDD505-2E9C-101B-9397-08002B2CF9AE}" pid="4" name="KSOTemplateDocerSaveRecord">
    <vt:lpwstr>eyJoZGlkIjoiNzAzNTQzYWNhYWFmN2EzNjMxMzI1MzA1M2NhZmJlN2EiLCJ1c2VySWQiOiIyNDQxMjM0MDgifQ==</vt:lpwstr>
  </property>
</Properties>
</file>