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48"/>
        </w:rPr>
        <w:t>Aira AI Model Training Architecture Report</w:t>
      </w:r>
    </w:p>
    <w:p>
      <w:pPr>
        <w:jc w:val="center"/>
      </w:pPr>
      <w:r>
        <w:rPr>
          <w:i/>
          <w:color w:val="718096"/>
          <w:sz w:val="26"/>
        </w:rPr>
        <w:t>Dual-System Non-Autoregressive Triage, MCTS Reasoning, and Live Monitoring Web UI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a_training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568"/>
          <w:sz w:val="19"/>
        </w:rPr>
        <w:t>Figure 1: High-Level Architectural Block Diagram of Aira Dual-System Training Pipeline &amp; Live Web UI</w:t>
      </w:r>
    </w:p>
    <w:p/>
    <w:p>
      <w:pPr>
        <w:pStyle w:val="Heading1"/>
      </w:pPr>
      <w:r>
        <w:rPr>
          <w:color w:val="004080"/>
        </w:rPr>
        <w:t>1. Executive Summary &amp; Overview</w:t>
      </w:r>
    </w:p>
    <w:p>
      <w:r>
        <w:t>This report provides an in-depth technical explanation of the newly implemented Aira Dual-System Training Loop (train_v2.py), its associated Live Web UI Monitoring Dashboard (live_dashboard.py), and the Google Colab execution launcher (run_colab_training_v2.py). Aira incorporates a hybrid Dual-System architecture combining System 1 (sub-70ms non-autoregressive parallel reflex triage) and System 2 (Monte Carlo Tree Search + Process Reward Model reasoning) to achieve frontier-level intelligence while maintaining ultra-low latency and deterministic guardrail compliance.</w:t>
      </w:r>
    </w:p>
    <w:p>
      <w:pPr>
        <w:pStyle w:val="Heading1"/>
      </w:pPr>
      <w:r>
        <w:rPr>
          <w:color w:val="004080"/>
        </w:rPr>
        <w:t>2. Core Features &amp; Architectural Role in Aira</w:t>
      </w:r>
    </w:p>
    <w:p>
      <w:pPr>
        <w:pStyle w:val="Heading2"/>
      </w:pPr>
      <w:r>
        <w:rPr>
          <w:color w:val="2B6CB0"/>
        </w:rPr>
        <w:t>1. Data Ingestion &amp; Streaming Pipeline</w:t>
      </w:r>
    </w:p>
    <w:p>
      <w:r>
        <w:t>Combines FineWeb-Edu, UltraChat 200k, Orca Math, and CodeFeedback datasets. Normalizes and split-streams high-quality training pairs to the model.</w:t>
      </w:r>
    </w:p>
    <w:p>
      <w:pPr>
        <w:pStyle w:val="Heading2"/>
      </w:pPr>
      <w:r>
        <w:rPr>
          <w:color w:val="2B6CB0"/>
        </w:rPr>
        <w:t>2. CPU-to-CUDA 4-Bit NF4 Block Streaming</w:t>
      </w:r>
    </w:p>
    <w:p>
      <w:r>
        <w:t>Streams model layer blocks from CPU RAM to CUDA GPU, allowing an 8B parameter model to train on a single 15GB Tesla T4 GPU with peak initialization VRAM under 4.0 GB.</w:t>
      </w:r>
    </w:p>
    <w:p>
      <w:pPr>
        <w:pStyle w:val="Heading2"/>
      </w:pPr>
      <w:r>
        <w:rPr>
          <w:color w:val="2B6CB0"/>
        </w:rPr>
        <w:t>3. Dual-System Loss Objectives</w:t>
      </w:r>
    </w:p>
    <w:p>
      <w:r>
        <w:t>Calculates joint loss terms for System 1 (vault path indexing &amp; AGENT.md rule compliance) and System 2 (MCTS reasoning step quality via PRM scoring).</w:t>
      </w:r>
    </w:p>
    <w:p>
      <w:pPr>
        <w:pStyle w:val="Heading2"/>
      </w:pPr>
      <w:r>
        <w:rPr>
          <w:color w:val="2B6CB0"/>
        </w:rPr>
        <w:t>4. Muon + AdamW Hybrid Optimizer</w:t>
      </w:r>
    </w:p>
    <w:p>
      <w:r>
        <w:t>Uses Muon optimizer for 2D weight matrices (scaling tensor learning) combined with AdamW for 1D vectors, normalization layers, and embeddings.</w:t>
      </w:r>
    </w:p>
    <w:p>
      <w:pPr>
        <w:pStyle w:val="Heading2"/>
      </w:pPr>
      <w:r>
        <w:rPr>
          <w:color w:val="2B6CB0"/>
        </w:rPr>
        <w:t>5. Live Web UI Monitoring Dashboard</w:t>
      </w:r>
    </w:p>
    <w:p>
      <w:r>
        <w:t>Provides real-time interactive tracking on port 7860 with glassmorphic UI, live Chart.js curves (Loss, Tok/s, VRAM), metric cards, and terminal log tail.</w:t>
      </w:r>
    </w:p>
    <w:p>
      <w:pPr>
        <w:pStyle w:val="Heading2"/>
      </w:pPr>
      <w:r>
        <w:rPr>
          <w:color w:val="2B6CB0"/>
        </w:rPr>
        <w:t>6. Google Colab Drive Persistence</w:t>
      </w:r>
    </w:p>
    <w:p>
      <w:r>
        <w:t>Mounts /content/drive/MyDrive/AiraCheckpoints/ to automatically preserve all model weights and checkpoints across Colab sessions.</w:t>
      </w:r>
    </w:p>
    <w:p>
      <w:pPr>
        <w:pStyle w:val="Heading1"/>
      </w:pPr>
      <w:r>
        <w:rPr>
          <w:color w:val="004080"/>
        </w:rPr>
        <w:t>3. Future Plans &amp; Strategic Roadmap</w:t>
      </w:r>
    </w:p>
    <w:p>
      <w:pPr>
        <w:pStyle w:val="ListBullet"/>
      </w:pPr>
      <w:r>
        <w:t>Phase 1 (Current): Dual-System Training Loop v2 deployment with Colab Live Web UI and automated benchmark validation.</w:t>
      </w:r>
    </w:p>
    <w:p>
      <w:pPr>
        <w:pStyle w:val="ListBullet"/>
      </w:pPr>
      <w:r>
        <w:t>Phase 2 (Q4 2026): Autonomous STaR (Self-Taught Reasoner) synthetic data loop to allow Aira to generate her own chain-of-thought training data from vault tasks.</w:t>
      </w:r>
    </w:p>
    <w:p>
      <w:pPr>
        <w:pStyle w:val="ListBullet"/>
      </w:pPr>
      <w:r>
        <w:t>Phase 3 (Q1 2027): Latent space policy distillation, compressing System 2 MCTS search traces into System 1 sub-50ms neural heads.</w:t>
      </w:r>
    </w:p>
    <w:p>
      <w:pPr>
        <w:pStyle w:val="ListBullet"/>
      </w:pPr>
      <w:r>
        <w:t>Phase 4 (Q2 2027): Full recursive self-improvement pipeline with parameter-efficient adapters (LoRA/DoRA) and EWC identity protection.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