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 xml:space="preserve">ЛАБОРАТОРНАЯ РАБОТА № 2</w:t>
      </w:r>
    </w:p>
    <w:p>
      <w:pPr>
        <w:jc w:val="center"/>
      </w:pPr>
      <w:r>
        <w:rPr>
          <w:b/>
          <w:sz w:val="30"/>
        </w:rPr>
        <w:t xml:space="preserve">Чтение информации из графических файлов</w:t>
      </w:r>
    </w:p>
    <w:p>
      <w:pPr>
        <w:keepNext/>
        <w:spacing w:before="280"/>
      </w:pPr>
      <w:r>
        <w:rPr>
          <w:b/>
          <w:sz w:val="32"/>
        </w:rPr>
        <w:t xml:space="preserve">Цель работы</w:t>
      </w:r>
    </w:p>
    <w:p>
      <w:pPr>
        <w:ind w:firstLine="709"/>
        <w:jc w:val="both"/>
      </w:pPr>
      <w:r>
        <w:t xml:space="preserve">Закрепить знания о форматах хранения растровых изображений и научиться получать информацию об изображении из файла. Разработать веб-приложение, которое считывает основные характеристики изображений из выбранной папки (до 100 000 файлов) и показывает их в таблице.</w:t>
      </w:r>
    </w:p>
    <w:p>
      <w:pPr>
        <w:keepNext/>
        <w:spacing w:before="280"/>
      </w:pPr>
      <w:r>
        <w:rPr>
          <w:b/>
          <w:sz w:val="32"/>
        </w:rPr>
        <w:t xml:space="preserve">Задачи работы</w:t>
      </w:r>
    </w:p>
    <w:p>
      <w:pPr>
        <w:spacing w:after="40"/>
        <w:ind w:left="425"/>
        <w:jc w:val="both"/>
      </w:pPr>
      <w:r>
        <w:t xml:space="preserve">• реализовать чтение заголовков JPG, GIF, TIFF, BMP, PNG и PCX вручную, по сигнатурам и тегам, без сторонних библиотек;</w:t>
      </w:r>
    </w:p>
    <w:p>
      <w:pPr>
        <w:spacing w:after="40"/>
        <w:ind w:left="425"/>
        <w:jc w:val="both"/>
      </w:pPr>
      <w:r>
        <w:t xml:space="preserve">• выводить для каждого файла имя, размер в пикселях, разрешение (dpi), глубину цвета и сжатие;</w:t>
      </w:r>
    </w:p>
    <w:p>
      <w:pPr>
        <w:spacing w:after="40"/>
        <w:ind w:left="425"/>
        <w:jc w:val="both"/>
      </w:pPr>
      <w:r>
        <w:t xml:space="preserve">• обеспечить выбор папки с файлами (до 100 000 штук);</w:t>
      </w:r>
    </w:p>
    <w:p>
      <w:pPr>
        <w:spacing w:after="40"/>
        <w:ind w:left="425"/>
        <w:jc w:val="both"/>
      </w:pPr>
      <w:r>
        <w:t xml:space="preserve">• читать только начало и конец файла, не загружая его целиком;</w:t>
      </w:r>
    </w:p>
    <w:p>
      <w:pPr>
        <w:spacing w:after="40"/>
        <w:ind w:left="425"/>
        <w:jc w:val="both"/>
      </w:pPr>
      <w:r>
        <w:t xml:space="preserve">• читать файлы в нескольких потоках с индикацией прогресса, не блокируя интерфейс;</w:t>
      </w:r>
    </w:p>
    <w:p>
      <w:pPr>
        <w:spacing w:after="40"/>
        <w:ind w:left="425"/>
        <w:jc w:val="both"/>
      </w:pPr>
      <w:r>
        <w:t xml:space="preserve">• дополнительно показать палитру, таблицы квантования JPEG и теги TIFF с пояснением каждой характеристики;</w:t>
      </w:r>
    </w:p>
    <w:p>
      <w:pPr>
        <w:spacing w:after="40"/>
        <w:ind w:left="425"/>
        <w:jc w:val="both"/>
      </w:pPr>
      <w:r>
        <w:t xml:space="preserve">• определять повреждённые файлы и подмену расширения;</w:t>
      </w:r>
    </w:p>
    <w:p>
      <w:pPr>
        <w:spacing w:after="40"/>
        <w:ind w:left="425"/>
        <w:jc w:val="both"/>
      </w:pPr>
      <w:r>
        <w:t xml:space="preserve">• опубликовать приложение в общем доступе.</w:t>
      </w:r>
    </w:p>
    <w:p>
      <w:pPr>
        <w:keepNext/>
        <w:spacing w:before="280"/>
      </w:pPr>
      <w:r>
        <w:rPr>
          <w:b/>
          <w:sz w:val="32"/>
        </w:rPr>
        <w:t xml:space="preserve">Использованные средства разработки</w:t>
      </w:r>
    </w:p>
    <w:p>
      <w:pPr>
        <w:spacing w:after="40"/>
        <w:ind w:left="425"/>
        <w:jc w:val="both"/>
      </w:pPr>
      <w:r>
        <w:t xml:space="preserve">• TypeScript — разбор форматов и логика приложения (компилируется в один JavaScript-файл);</w:t>
      </w:r>
    </w:p>
    <w:p>
      <w:pPr>
        <w:spacing w:after="40"/>
        <w:ind w:left="425"/>
        <w:jc w:val="both"/>
      </w:pPr>
      <w:r>
        <w:t xml:space="preserve">• HTML5 и CSS3 — интерфейс, таблица с виртуальной прокруткой;</w:t>
      </w:r>
    </w:p>
    <w:p>
      <w:pPr>
        <w:spacing w:after="40"/>
        <w:ind w:left="425"/>
        <w:jc w:val="both"/>
      </w:pPr>
      <w:r>
        <w:t xml:space="preserve">• File API (File.slice) — чтение заданных диапазонов байтов;</w:t>
      </w:r>
    </w:p>
    <w:p>
      <w:pPr>
        <w:spacing w:after="40"/>
        <w:ind w:left="425"/>
        <w:jc w:val="both"/>
      </w:pPr>
      <w:r>
        <w:t xml:space="preserve">• Web Workers — многопоточное чтение;</w:t>
      </w:r>
    </w:p>
    <w:p>
      <w:pPr>
        <w:spacing w:after="40"/>
        <w:ind w:left="425"/>
        <w:jc w:val="both"/>
      </w:pPr>
      <w:r>
        <w:t xml:space="preserve">• статический хостинг — публикация приложения.</w:t>
      </w:r>
    </w:p>
    <w:p>
      <w:pPr>
        <w:keepNext/>
        <w:spacing w:before="280"/>
      </w:pPr>
      <w:r>
        <w:rPr>
          <w:b/>
          <w:sz w:val="32"/>
        </w:rPr>
        <w:t xml:space="preserve">Ход выполнения работы</w:t>
      </w:r>
    </w:p>
    <w:p>
      <w:pPr>
        <w:keepNext/>
        <w:spacing w:before="200"/>
      </w:pPr>
      <w:r>
        <w:rPr>
          <w:b/>
          <w:sz w:val="28"/>
        </w:rPr>
        <w:t xml:space="preserve">1. Чтение файла</w:t>
      </w:r>
    </w:p>
    <w:p>
      <w:pPr>
        <w:ind w:firstLine="709"/>
        <w:jc w:val="both"/>
      </w:pPr>
      <w:r>
        <w:t xml:space="preserve">Для каждого файла методом File.slice считываются первые 64 КБ и последний 1 КБ, остальное не загружается. Если нужные данные лежат дальше, дочитывается отдельный диапазон по смещению. Формат определяется по сигнатуре, а не по расширению.</w:t>
      </w:r>
    </w:p>
    <w:p>
      <w:pPr>
        <w:keepNext/>
        <w:spacing w:before="200"/>
      </w:pPr>
      <w:r>
        <w:rPr>
          <w:b/>
          <w:sz w:val="28"/>
        </w:rPr>
        <w:t xml:space="preserve">2. Разбор форматов</w:t>
      </w:r>
    </w:p>
    <w:p>
      <w:pPr>
        <w:ind w:firstLine="709"/>
        <w:jc w:val="both"/>
      </w:pPr>
      <w:r>
        <w:t xml:space="preserve">Поля читаются побайтово по спецификациям. Если разрешение в файле не задано, выводится «—».</w:t>
      </w:r>
    </w:p>
    <w:tbl>
      <w:tblPr>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1000"/>
        <w:gridCol w:w="2250"/>
        <w:gridCol w:w="1700"/>
        <w:gridCol w:w="2000"/>
        <w:gridCol w:w="1690"/>
      </w:tblGrid>
      <w:tr>
        <w:trPr>
          <w:cantSplit/>
          <w:tblHeader/>
        </w:trPr>
        <w:tc>
          <w:tcPr>
            <w:tcW w:w="1000" w:type="dxa"/>
            <w:shd w:val="clear" w:color="auto" w:fill="E7E6E6"/>
          </w:tcPr>
          <w:p>
            <w:pPr>
              <w:spacing w:after="0" w:line="240" w:lineRule="auto"/>
            </w:pPr>
            <w:r>
              <w:rPr>
                <w:b/>
                <w:sz w:val="18"/>
              </w:rPr>
              <w:t xml:space="preserve">Формат</w:t>
            </w:r>
          </w:p>
        </w:tc>
        <w:tc>
          <w:tcPr>
            <w:tcW w:w="2250" w:type="dxa"/>
            <w:shd w:val="clear" w:color="auto" w:fill="E7E6E6"/>
          </w:tcPr>
          <w:p>
            <w:pPr>
              <w:spacing w:after="0" w:line="240" w:lineRule="auto"/>
            </w:pPr>
            <w:r>
              <w:rPr>
                <w:b/>
                <w:sz w:val="18"/>
              </w:rPr>
              <w:t xml:space="preserve">Размер, px</w:t>
            </w:r>
          </w:p>
        </w:tc>
        <w:tc>
          <w:tcPr>
            <w:tcW w:w="1700" w:type="dxa"/>
            <w:shd w:val="clear" w:color="auto" w:fill="E7E6E6"/>
          </w:tcPr>
          <w:p>
            <w:pPr>
              <w:spacing w:after="0" w:line="240" w:lineRule="auto"/>
            </w:pPr>
            <w:r>
              <w:rPr>
                <w:b/>
                <w:sz w:val="18"/>
              </w:rPr>
              <w:t xml:space="preserve">dpi</w:t>
            </w:r>
          </w:p>
        </w:tc>
        <w:tc>
          <w:tcPr>
            <w:tcW w:w="2000" w:type="dxa"/>
            <w:shd w:val="clear" w:color="auto" w:fill="E7E6E6"/>
          </w:tcPr>
          <w:p>
            <w:pPr>
              <w:spacing w:after="0" w:line="240" w:lineRule="auto"/>
            </w:pPr>
            <w:r>
              <w:rPr>
                <w:b/>
                <w:sz w:val="18"/>
              </w:rPr>
              <w:t xml:space="preserve">Глубина</w:t>
            </w:r>
          </w:p>
        </w:tc>
        <w:tc>
          <w:tcPr>
            <w:tcW w:w="1690" w:type="dxa"/>
            <w:shd w:val="clear" w:color="auto" w:fill="E7E6E6"/>
          </w:tcPr>
          <w:p>
            <w:pPr>
              <w:spacing w:after="0" w:line="240" w:lineRule="auto"/>
            </w:pPr>
            <w:r>
              <w:rPr>
                <w:b/>
                <w:sz w:val="18"/>
              </w:rPr>
              <w:t xml:space="preserve">Сжатие</w:t>
            </w:r>
          </w:p>
        </w:tc>
      </w:tr>
      <w:tr>
        <w:trPr>
          <w:cantSplit/>
        </w:trPr>
        <w:tc>
          <w:tcPr>
            <w:tcW w:w="1000" w:type="dxa"/>
          </w:tcPr>
          <w:p>
            <w:pPr>
              <w:spacing w:after="0" w:line="240" w:lineRule="auto"/>
            </w:pPr>
            <w:r>
              <w:rPr>
                <w:sz w:val="18"/>
              </w:rPr>
              <w:t xml:space="preserve">PNG</w:t>
            </w:r>
          </w:p>
        </w:tc>
        <w:tc>
          <w:tcPr>
            <w:tcW w:w="2250" w:type="dxa"/>
          </w:tcPr>
          <w:p>
            <w:pPr>
              <w:spacing w:after="0" w:line="240" w:lineRule="auto"/>
            </w:pPr>
            <w:r>
              <w:rPr>
                <w:sz w:val="18"/>
              </w:rPr>
              <w:t xml:space="preserve">IHDR: Width, Height</w:t>
            </w:r>
          </w:p>
        </w:tc>
        <w:tc>
          <w:tcPr>
            <w:tcW w:w="1700" w:type="dxa"/>
          </w:tcPr>
          <w:p>
            <w:pPr>
              <w:spacing w:after="0" w:line="240" w:lineRule="auto"/>
            </w:pPr>
            <w:r>
              <w:rPr>
                <w:sz w:val="18"/>
              </w:rPr>
              <w:t xml:space="preserve">pHYs (пикс./м × 0,0254)</w:t>
            </w:r>
          </w:p>
        </w:tc>
        <w:tc>
          <w:tcPr>
            <w:tcW w:w="2000" w:type="dxa"/>
          </w:tcPr>
          <w:p>
            <w:pPr>
              <w:spacing w:after="0" w:line="240" w:lineRule="auto"/>
            </w:pPr>
            <w:r>
              <w:rPr>
                <w:sz w:val="18"/>
              </w:rPr>
              <w:t xml:space="preserve">бит на канал × число каналов (IHDR)</w:t>
            </w:r>
          </w:p>
        </w:tc>
        <w:tc>
          <w:tcPr>
            <w:tcW w:w="1690" w:type="dxa"/>
          </w:tcPr>
          <w:p>
            <w:pPr>
              <w:spacing w:after="0" w:line="240" w:lineRule="auto"/>
            </w:pPr>
            <w:r>
              <w:rPr>
                <w:sz w:val="18"/>
              </w:rPr>
              <w:t xml:space="preserve">Deflate (IHDR)</w:t>
            </w:r>
          </w:p>
        </w:tc>
      </w:tr>
      <w:tr>
        <w:trPr>
          <w:cantSplit/>
        </w:trPr>
        <w:tc>
          <w:tcPr>
            <w:tcW w:w="1000" w:type="dxa"/>
          </w:tcPr>
          <w:p>
            <w:pPr>
              <w:spacing w:after="0" w:line="240" w:lineRule="auto"/>
            </w:pPr>
            <w:r>
              <w:rPr>
                <w:sz w:val="18"/>
              </w:rPr>
              <w:t xml:space="preserve">JPEG</w:t>
            </w:r>
          </w:p>
        </w:tc>
        <w:tc>
          <w:tcPr>
            <w:tcW w:w="2250" w:type="dxa"/>
          </w:tcPr>
          <w:p>
            <w:pPr>
              <w:spacing w:after="0" w:line="240" w:lineRule="auto"/>
            </w:pPr>
            <w:r>
              <w:rPr>
                <w:sz w:val="18"/>
              </w:rPr>
              <w:t xml:space="preserve">маркер SOFn</w:t>
            </w:r>
          </w:p>
        </w:tc>
        <w:tc>
          <w:tcPr>
            <w:tcW w:w="1700" w:type="dxa"/>
          </w:tcPr>
          <w:p>
            <w:pPr>
              <w:spacing w:after="0" w:line="240" w:lineRule="auto"/>
            </w:pPr>
            <w:r>
              <w:rPr>
                <w:sz w:val="18"/>
              </w:rPr>
              <w:t xml:space="preserve">JFIF (APP0) или Exif (APP1)</w:t>
            </w:r>
          </w:p>
        </w:tc>
        <w:tc>
          <w:tcPr>
            <w:tcW w:w="2000" w:type="dxa"/>
          </w:tcPr>
          <w:p>
            <w:pPr>
              <w:spacing w:after="0" w:line="240" w:lineRule="auto"/>
            </w:pPr>
            <w:r>
              <w:rPr>
                <w:sz w:val="18"/>
              </w:rPr>
              <w:t xml:space="preserve">точность × число компонент (SOFn)</w:t>
            </w:r>
          </w:p>
        </w:tc>
        <w:tc>
          <w:tcPr>
            <w:tcW w:w="1690" w:type="dxa"/>
          </w:tcPr>
          <w:p>
            <w:pPr>
              <w:spacing w:after="0" w:line="240" w:lineRule="auto"/>
            </w:pPr>
            <w:r>
              <w:rPr>
                <w:sz w:val="18"/>
              </w:rPr>
              <w:t xml:space="preserve">тип кодирования по SOFn</w:t>
            </w:r>
          </w:p>
        </w:tc>
      </w:tr>
      <w:tr>
        <w:trPr>
          <w:cantSplit/>
        </w:trPr>
        <w:tc>
          <w:tcPr>
            <w:tcW w:w="1000" w:type="dxa"/>
          </w:tcPr>
          <w:p>
            <w:pPr>
              <w:spacing w:after="0" w:line="240" w:lineRule="auto"/>
            </w:pPr>
            <w:r>
              <w:rPr>
                <w:sz w:val="18"/>
              </w:rPr>
              <w:t xml:space="preserve">GIF</w:t>
            </w:r>
          </w:p>
        </w:tc>
        <w:tc>
          <w:tcPr>
            <w:tcW w:w="2250" w:type="dxa"/>
          </w:tcPr>
          <w:p>
            <w:pPr>
              <w:spacing w:after="0" w:line="240" w:lineRule="auto"/>
            </w:pPr>
            <w:r>
              <w:rPr>
                <w:sz w:val="18"/>
              </w:rPr>
              <w:t xml:space="preserve">Logical Screen Descriptor</w:t>
            </w:r>
          </w:p>
        </w:tc>
        <w:tc>
          <w:tcPr>
            <w:tcW w:w="1700" w:type="dxa"/>
          </w:tcPr>
          <w:p>
            <w:pPr>
              <w:spacing w:after="0" w:line="240" w:lineRule="auto"/>
            </w:pPr>
            <w:r>
              <w:rPr>
                <w:sz w:val="18"/>
              </w:rPr>
              <w:t xml:space="preserve">в формате не хранится</w:t>
            </w:r>
          </w:p>
        </w:tc>
        <w:tc>
          <w:tcPr>
            <w:tcW w:w="2000" w:type="dxa"/>
          </w:tcPr>
          <w:p>
            <w:pPr>
              <w:spacing w:after="0" w:line="240" w:lineRule="auto"/>
            </w:pPr>
            <w:r>
              <w:rPr>
                <w:sz w:val="18"/>
              </w:rPr>
              <w:t xml:space="preserve">Color Resolution</w:t>
            </w:r>
          </w:p>
        </w:tc>
        <w:tc>
          <w:tcPr>
            <w:tcW w:w="1690" w:type="dxa"/>
          </w:tcPr>
          <w:p>
            <w:pPr>
              <w:spacing w:after="0" w:line="240" w:lineRule="auto"/>
            </w:pPr>
            <w:r>
              <w:rPr>
                <w:sz w:val="18"/>
              </w:rPr>
              <w:t xml:space="preserve">LZW</w:t>
            </w:r>
          </w:p>
        </w:tc>
      </w:tr>
      <w:tr>
        <w:trPr>
          <w:cantSplit/>
        </w:trPr>
        <w:tc>
          <w:tcPr>
            <w:tcW w:w="1000" w:type="dxa"/>
          </w:tcPr>
          <w:p>
            <w:pPr>
              <w:spacing w:after="0" w:line="240" w:lineRule="auto"/>
            </w:pPr>
            <w:r>
              <w:rPr>
                <w:sz w:val="18"/>
              </w:rPr>
              <w:t xml:space="preserve">BMP</w:t>
            </w:r>
          </w:p>
        </w:tc>
        <w:tc>
          <w:tcPr>
            <w:tcW w:w="2250" w:type="dxa"/>
          </w:tcPr>
          <w:p>
            <w:pPr>
              <w:spacing w:after="0" w:line="240" w:lineRule="auto"/>
            </w:pPr>
            <w:r>
              <w:rPr>
                <w:sz w:val="18"/>
              </w:rPr>
              <w:t xml:space="preserve">BITMAPINFOHEADER</w:t>
            </w:r>
          </w:p>
        </w:tc>
        <w:tc>
          <w:tcPr>
            <w:tcW w:w="1700" w:type="dxa"/>
          </w:tcPr>
          <w:p>
            <w:pPr>
              <w:spacing w:after="0" w:line="240" w:lineRule="auto"/>
            </w:pPr>
            <w:r>
              <w:rPr>
                <w:sz w:val="18"/>
              </w:rPr>
              <w:t xml:space="preserve">XPelsPerMeter, YPelsPerMeter</w:t>
            </w:r>
          </w:p>
        </w:tc>
        <w:tc>
          <w:tcPr>
            <w:tcW w:w="2000" w:type="dxa"/>
          </w:tcPr>
          <w:p>
            <w:pPr>
              <w:spacing w:after="0" w:line="240" w:lineRule="auto"/>
            </w:pPr>
            <w:r>
              <w:rPr>
                <w:sz w:val="18"/>
              </w:rPr>
              <w:t xml:space="preserve">biBitCount</w:t>
            </w:r>
          </w:p>
        </w:tc>
        <w:tc>
          <w:tcPr>
            <w:tcW w:w="1690" w:type="dxa"/>
          </w:tcPr>
          <w:p>
            <w:pPr>
              <w:spacing w:after="0" w:line="240" w:lineRule="auto"/>
            </w:pPr>
            <w:r>
              <w:rPr>
                <w:sz w:val="18"/>
              </w:rPr>
              <w:t xml:space="preserve">biCompression</w:t>
            </w:r>
          </w:p>
        </w:tc>
      </w:tr>
      <w:tr>
        <w:trPr>
          <w:cantSplit/>
        </w:trPr>
        <w:tc>
          <w:tcPr>
            <w:tcW w:w="1000" w:type="dxa"/>
          </w:tcPr>
          <w:p>
            <w:pPr>
              <w:spacing w:after="0" w:line="240" w:lineRule="auto"/>
            </w:pPr>
            <w:r>
              <w:rPr>
                <w:sz w:val="18"/>
              </w:rPr>
              <w:t xml:space="preserve">TIFF</w:t>
            </w:r>
          </w:p>
        </w:tc>
        <w:tc>
          <w:tcPr>
            <w:tcW w:w="2250" w:type="dxa"/>
          </w:tcPr>
          <w:p>
            <w:pPr>
              <w:spacing w:after="0" w:line="240" w:lineRule="auto"/>
            </w:pPr>
            <w:r>
              <w:rPr>
                <w:sz w:val="18"/>
              </w:rPr>
              <w:t xml:space="preserve">теги 256, 257 (IFD)</w:t>
            </w:r>
          </w:p>
        </w:tc>
        <w:tc>
          <w:tcPr>
            <w:tcW w:w="1700" w:type="dxa"/>
          </w:tcPr>
          <w:p>
            <w:pPr>
              <w:spacing w:after="0" w:line="240" w:lineRule="auto"/>
            </w:pPr>
            <w:r>
              <w:rPr>
                <w:sz w:val="18"/>
              </w:rPr>
              <w:t xml:space="preserve">теги 282, 283, 296</w:t>
            </w:r>
          </w:p>
        </w:tc>
        <w:tc>
          <w:tcPr>
            <w:tcW w:w="2000" w:type="dxa"/>
          </w:tcPr>
          <w:p>
            <w:pPr>
              <w:spacing w:after="0" w:line="240" w:lineRule="auto"/>
            </w:pPr>
            <w:r>
              <w:rPr>
                <w:sz w:val="18"/>
              </w:rPr>
              <w:t xml:space="preserve">сумма BitsPerSample (тег 258)</w:t>
            </w:r>
          </w:p>
        </w:tc>
        <w:tc>
          <w:tcPr>
            <w:tcW w:w="1690" w:type="dxa"/>
          </w:tcPr>
          <w:p>
            <w:pPr>
              <w:spacing w:after="0" w:line="240" w:lineRule="auto"/>
            </w:pPr>
            <w:r>
              <w:rPr>
                <w:sz w:val="18"/>
              </w:rPr>
              <w:t xml:space="preserve">тег 259</w:t>
            </w:r>
          </w:p>
        </w:tc>
      </w:tr>
      <w:tr>
        <w:trPr>
          <w:cantSplit/>
        </w:trPr>
        <w:tc>
          <w:tcPr>
            <w:tcW w:w="1000" w:type="dxa"/>
          </w:tcPr>
          <w:p>
            <w:pPr>
              <w:spacing w:after="0" w:line="240" w:lineRule="auto"/>
            </w:pPr>
            <w:r>
              <w:rPr>
                <w:sz w:val="18"/>
              </w:rPr>
              <w:t xml:space="preserve">PCX</w:t>
            </w:r>
          </w:p>
        </w:tc>
        <w:tc>
          <w:tcPr>
            <w:tcW w:w="2250" w:type="dxa"/>
          </w:tcPr>
          <w:p>
            <w:pPr>
              <w:spacing w:after="0" w:line="240" w:lineRule="auto"/>
            </w:pPr>
            <w:r>
              <w:rPr>
                <w:sz w:val="18"/>
              </w:rPr>
              <w:t xml:space="preserve">Xmax − Xmin + 1, Ymax − Ymin + 1</w:t>
            </w:r>
          </w:p>
        </w:tc>
        <w:tc>
          <w:tcPr>
            <w:tcW w:w="1700" w:type="dxa"/>
          </w:tcPr>
          <w:p>
            <w:pPr>
              <w:spacing w:after="0" w:line="240" w:lineRule="auto"/>
            </w:pPr>
            <w:r>
              <w:rPr>
                <w:sz w:val="18"/>
              </w:rPr>
              <w:t xml:space="preserve">HDPI, VDPI</w:t>
            </w:r>
          </w:p>
        </w:tc>
        <w:tc>
          <w:tcPr>
            <w:tcW w:w="2000" w:type="dxa"/>
          </w:tcPr>
          <w:p>
            <w:pPr>
              <w:spacing w:after="0" w:line="240" w:lineRule="auto"/>
            </w:pPr>
            <w:r>
              <w:rPr>
                <w:sz w:val="18"/>
              </w:rPr>
              <w:t xml:space="preserve">бит на плоскость × число плоскостей</w:t>
            </w:r>
          </w:p>
        </w:tc>
        <w:tc>
          <w:tcPr>
            <w:tcW w:w="1690" w:type="dxa"/>
          </w:tcPr>
          <w:p>
            <w:pPr>
              <w:spacing w:after="0" w:line="240" w:lineRule="auto"/>
            </w:pPr>
            <w:r>
              <w:rPr>
                <w:sz w:val="18"/>
              </w:rPr>
              <w:t xml:space="preserve">RLE</w:t>
            </w:r>
          </w:p>
        </w:tc>
      </w:tr>
    </w:tbl>
    <w:p>
      <w:pPr>
        <w:spacing w:after="0"/>
      </w:pPr>
    </w:p>
    <w:p>
      <w:pPr>
        <w:keepNext/>
        <w:spacing w:before="200"/>
      </w:pPr>
      <w:r>
        <w:rPr>
          <w:b/>
          <w:sz w:val="28"/>
        </w:rPr>
        <w:t xml:space="preserve">3. Дополнительные данные</w:t>
      </w:r>
    </w:p>
    <w:p>
      <w:pPr>
        <w:ind w:firstLine="709"/>
        <w:jc w:val="both"/>
      </w:pPr>
      <w:r>
        <w:t xml:space="preserve">Выводятся палитра (PNG — чанк PLTE, GIF — Global Color Table, BMP, PCX), таблицы квантования JPEG (сегмент DQT: 64 коэффициента в порядке zig-zag, на них делятся коэффициенты ДКП) и теги TIFF из IFD; тот же разбор IFD используется для Exif в JPEG. Назначение каждой характеристики и источник данных описаны в справке внутри приложения.</w:t>
      </w:r>
    </w:p>
    <w:p>
      <w:pPr>
        <w:keepNext/>
        <w:spacing w:before="200"/>
      </w:pPr>
      <w:r>
        <w:rPr>
          <w:b/>
          <w:sz w:val="28"/>
        </w:rPr>
        <w:t xml:space="preserve">4. Проверка целостности</w:t>
      </w:r>
    </w:p>
    <w:p>
      <w:pPr>
        <w:ind w:firstLine="709"/>
        <w:jc w:val="both"/>
      </w:pPr>
      <w:r>
        <w:t xml:space="preserve">Статус «Файл поврежден» выставляется, если у PNG нет чанка IEND, у JPEG — маркера EOI (FF D9), у GIF — завершающего байта 3B, у PCX — маркера палитры 0C, если размер BMP меньше указанного в заголовке или обрезаны данные TIFF. Выход за границы файла перехватывается, программа не падает. Если сигнатура не распознана, файл помечается как «не изображение» (например, текст с расширением .jpg); если расширение не совпадает с форматом — выдаётся предупреждение.</w:t>
      </w:r>
    </w:p>
    <w:p>
      <w:pPr>
        <w:keepNext/>
        <w:spacing w:before="200"/>
      </w:pPr>
      <w:r>
        <w:rPr>
          <w:b/>
          <w:sz w:val="28"/>
        </w:rPr>
        <w:t xml:space="preserve">5. Многопоточность и интерфейс</w:t>
      </w:r>
    </w:p>
    <w:p>
      <w:pPr>
        <w:ind w:firstLine="709"/>
        <w:jc w:val="both"/>
      </w:pPr>
      <w:r>
        <w:t xml:space="preserve">Файлы делятся на пакеты по 100 штук, которые обрабатывают Web Workers по числу ядер процессора (не более 8). Таблица рисует только видимые строки, поэтому 100 000 записей не замедляют страницу. Над таблицей показаны прогресс-бар, скорость обработки и число файлов по статусам. Если воркеры недоступны, чтение выполняется асинхронно в основном потоке. По щелчку на строку открываются подробные данные и предпросмотр.</w:t>
      </w:r>
    </w:p>
    <w:p>
      <w:pPr>
        <w:keepNext/>
        <w:spacing w:before="280"/>
      </w:pPr>
      <w:r>
        <w:rPr>
          <w:b/>
          <w:sz w:val="32"/>
        </w:rPr>
        <w:t xml:space="preserve">Проблемы, возникшие в работе, и способы решения</w:t>
      </w:r>
    </w:p>
    <w:p>
      <w:pPr>
        <w:jc w:val="both"/>
      </w:pPr>
      <w:r>
        <w:t xml:space="preserve">1. Не выводились таблицы квантования JPEG.</w:t>
      </w:r>
    </w:p>
    <w:p>
      <w:pPr>
        <w:jc w:val="both"/>
      </w:pPr>
      <w:r>
        <w:t xml:space="preserve">Причина: в тестовых файлах маркер DQT стоит после SOF, а разбор заканчивался на SOF.</w:t>
      </w:r>
    </w:p>
    <w:p>
      <w:pPr>
        <w:jc w:val="both"/>
      </w:pPr>
      <w:r>
        <w:t xml:space="preserve">Решение: сегменты проходятся до маркера SOS.</w:t>
      </w:r>
    </w:p>
    <w:p>
      <w:pPr>
        <w:jc w:val="both"/>
      </w:pPr>
      <w:r>
        <w:t xml:space="preserve">2. У тестовых JPEG разрешение «—», хотя библиотеки показывают 72.</w:t>
      </w:r>
    </w:p>
    <w:p>
      <w:pPr>
        <w:jc w:val="both"/>
      </w:pPr>
      <w:r>
        <w:t xml:space="preserve">Причина: в JFIF единицы плотности равны 0 (задано только соотношение сторон), в Exif нет XResolution; 72 — значение по умолчанию у библиотек.</w:t>
      </w:r>
    </w:p>
    <w:p>
      <w:pPr>
        <w:jc w:val="both"/>
      </w:pPr>
      <w:r>
        <w:t xml:space="preserve">Решение: выводится только то, что записано в файле.</w:t>
      </w:r>
    </w:p>
    <w:p>
      <w:pPr>
        <w:jc w:val="both"/>
      </w:pPr>
      <w:r>
        <w:t xml:space="preserve">3. Глубина 24 бита у чёрно-белых на вид JPEG.</w:t>
      </w:r>
    </w:p>
    <w:p>
      <w:pPr>
        <w:jc w:val="both"/>
      </w:pPr>
      <w:r>
        <w:t xml:space="preserve">Причина: изображения закодированы тремя компонентами YCbCr.</w:t>
      </w:r>
    </w:p>
    <w:p>
      <w:pPr>
        <w:jc w:val="both"/>
      </w:pPr>
      <w:r>
        <w:t xml:space="preserve">Решение: глубина считается по структуре файла (точность × число компонент); значение верное.</w:t>
      </w:r>
    </w:p>
    <w:p>
      <w:pPr>
        <w:jc w:val="both"/>
      </w:pPr>
      <w:r>
        <w:t xml:space="preserve">4. Заголовок JPEG может оказаться за пределами первого блока.</w:t>
      </w:r>
    </w:p>
    <w:p>
      <w:pPr>
        <w:jc w:val="both"/>
      </w:pPr>
      <w:r>
        <w:t xml:space="preserve">Причина: перед SOF бывают крупные блоки Exif и ICC-профиля.</w:t>
      </w:r>
    </w:p>
    <w:p>
      <w:pPr>
        <w:jc w:val="both"/>
      </w:pPr>
      <w:r>
        <w:t xml:space="preserve">Решение: сегменты проходятся по длине, данные за пределами блока дочитываются отдельным File.slice.</w:t>
      </w:r>
    </w:p>
    <w:p>
      <w:pPr>
        <w:keepNext/>
        <w:spacing w:before="280"/>
      </w:pPr>
      <w:r>
        <w:rPr>
          <w:b/>
          <w:sz w:val="32"/>
        </w:rPr>
        <w:t xml:space="preserve">Результаты работы</w:t>
      </w:r>
    </w:p>
    <w:p>
      <w:pPr>
        <w:ind w:firstLine="709"/>
        <w:jc w:val="both"/>
      </w:pPr>
      <w:r>
        <w:t xml:space="preserve">Создано веб-приложение, которое по выбранной папке выводит в таблице имя файла, размер в пикселях, dpi, глубину цвета и сжатие для JPG, GIF, TIFF, BMP, PNG и PCX. Заголовки разбираются вручную без сторонних библиотек, читаются только начало и конец файла, обработка идёт в нескольких потоках с прогресс-баром. Дополнительно выводятся палитры, таблицы квантования JPEG и теги TIFF, повреждённые файлы и подмена расширения определяются. Работа проверена на шести тестовых JPEG:</w:t>
      </w:r>
    </w:p>
    <w:tbl>
      <w:tblPr>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2300"/>
        <w:gridCol w:w="1500"/>
        <w:gridCol w:w="700"/>
        <w:gridCol w:w="1200"/>
        <w:gridCol w:w="2940"/>
      </w:tblGrid>
      <w:tr>
        <w:trPr>
          <w:cantSplit/>
          <w:tblHeader/>
        </w:trPr>
        <w:tc>
          <w:tcPr>
            <w:tcW w:w="2300" w:type="dxa"/>
            <w:shd w:val="clear" w:color="auto" w:fill="E7E6E6"/>
          </w:tcPr>
          <w:p>
            <w:pPr>
              <w:spacing w:after="0" w:line="240" w:lineRule="auto"/>
            </w:pPr>
            <w:r>
              <w:rPr>
                <w:b/>
                <w:sz w:val="18"/>
              </w:rPr>
              <w:t xml:space="preserve">Файл</w:t>
            </w:r>
          </w:p>
        </w:tc>
        <w:tc>
          <w:tcPr>
            <w:tcW w:w="1500" w:type="dxa"/>
            <w:shd w:val="clear" w:color="auto" w:fill="E7E6E6"/>
          </w:tcPr>
          <w:p>
            <w:pPr>
              <w:spacing w:after="0" w:line="240" w:lineRule="auto"/>
            </w:pPr>
            <w:r>
              <w:rPr>
                <w:b/>
                <w:sz w:val="18"/>
              </w:rPr>
              <w:t xml:space="preserve">Размер, px</w:t>
            </w:r>
          </w:p>
        </w:tc>
        <w:tc>
          <w:tcPr>
            <w:tcW w:w="700" w:type="dxa"/>
            <w:shd w:val="clear" w:color="auto" w:fill="E7E6E6"/>
          </w:tcPr>
          <w:p>
            <w:pPr>
              <w:spacing w:after="0" w:line="240" w:lineRule="auto"/>
            </w:pPr>
            <w:r>
              <w:rPr>
                <w:b/>
                <w:sz w:val="18"/>
              </w:rPr>
              <w:t xml:space="preserve">dpi</w:t>
            </w:r>
          </w:p>
        </w:tc>
        <w:tc>
          <w:tcPr>
            <w:tcW w:w="1200" w:type="dxa"/>
            <w:shd w:val="clear" w:color="auto" w:fill="E7E6E6"/>
          </w:tcPr>
          <w:p>
            <w:pPr>
              <w:spacing w:after="0" w:line="240" w:lineRule="auto"/>
            </w:pPr>
            <w:r>
              <w:rPr>
                <w:b/>
                <w:sz w:val="18"/>
              </w:rPr>
              <w:t xml:space="preserve">Глубина</w:t>
            </w:r>
          </w:p>
        </w:tc>
        <w:tc>
          <w:tcPr>
            <w:tcW w:w="2940" w:type="dxa"/>
            <w:shd w:val="clear" w:color="auto" w:fill="E7E6E6"/>
          </w:tcPr>
          <w:p>
            <w:pPr>
              <w:spacing w:after="0" w:line="240" w:lineRule="auto"/>
            </w:pPr>
            <w:r>
              <w:rPr>
                <w:b/>
                <w:sz w:val="18"/>
              </w:rPr>
              <w:t xml:space="preserve">Сжатие</w:t>
            </w:r>
          </w:p>
        </w:tc>
      </w:tr>
      <w:tr>
        <w:trPr>
          <w:cantSplit/>
        </w:trPr>
        <w:tc>
          <w:tcPr>
            <w:tcW w:w="2300" w:type="dxa"/>
          </w:tcPr>
          <w:p>
            <w:pPr>
              <w:spacing w:after="0" w:line="240" w:lineRule="auto"/>
            </w:pPr>
            <w:r>
              <w:rPr>
                <w:sz w:val="18"/>
              </w:rPr>
              <w:t xml:space="preserve">Fig1_15_a_.jpg</w:t>
            </w:r>
          </w:p>
        </w:tc>
        <w:tc>
          <w:tcPr>
            <w:tcW w:w="1500" w:type="dxa"/>
          </w:tcPr>
          <w:p>
            <w:pPr>
              <w:spacing w:after="0" w:line="240" w:lineRule="auto"/>
            </w:pPr>
            <w:r>
              <w:rPr>
                <w:sz w:val="18"/>
              </w:rPr>
              <w:t xml:space="preserve">512 × 480</w:t>
            </w:r>
          </w:p>
        </w:tc>
        <w:tc>
          <w:tcPr>
            <w:tcW w:w="700" w:type="dxa"/>
          </w:tcPr>
          <w:p>
            <w:pPr>
              <w:spacing w:after="0" w:line="240" w:lineRule="auto"/>
            </w:pPr>
            <w:r>
              <w:rPr>
                <w:sz w:val="18"/>
              </w:rPr>
              <w:t xml:space="preserve">—</w:t>
            </w:r>
          </w:p>
        </w:tc>
        <w:tc>
          <w:tcPr>
            <w:tcW w:w="1200" w:type="dxa"/>
          </w:tcPr>
          <w:p>
            <w:pPr>
              <w:spacing w:after="0" w:line="240" w:lineRule="auto"/>
            </w:pPr>
            <w:r>
              <w:rPr>
                <w:sz w:val="18"/>
              </w:rPr>
              <w:t xml:space="preserve">24 бита</w:t>
            </w:r>
          </w:p>
        </w:tc>
        <w:tc>
          <w:tcPr>
            <w:tcW w:w="2940" w:type="dxa"/>
          </w:tcPr>
          <w:p>
            <w:pPr>
              <w:spacing w:after="0" w:line="240" w:lineRule="auto"/>
            </w:pPr>
            <w:r>
              <w:rPr>
                <w:sz w:val="18"/>
              </w:rPr>
              <w:t xml:space="preserve">Baseline DCT (Huffman)</w:t>
            </w:r>
          </w:p>
        </w:tc>
      </w:tr>
      <w:tr>
        <w:trPr>
          <w:cantSplit/>
        </w:trPr>
        <w:tc>
          <w:tcPr>
            <w:tcW w:w="2300" w:type="dxa"/>
          </w:tcPr>
          <w:p>
            <w:pPr>
              <w:spacing w:after="0" w:line="240" w:lineRule="auto"/>
            </w:pPr>
            <w:r>
              <w:rPr>
                <w:sz w:val="18"/>
              </w:rPr>
              <w:t xml:space="preserve">Fig1_15_b_.jpg</w:t>
            </w:r>
          </w:p>
        </w:tc>
        <w:tc>
          <w:tcPr>
            <w:tcW w:w="1500" w:type="dxa"/>
          </w:tcPr>
          <w:p>
            <w:pPr>
              <w:spacing w:after="0" w:line="240" w:lineRule="auto"/>
            </w:pPr>
            <w:r>
              <w:rPr>
                <w:sz w:val="18"/>
              </w:rPr>
              <w:t xml:space="preserve">1184 × 496</w:t>
            </w:r>
          </w:p>
        </w:tc>
        <w:tc>
          <w:tcPr>
            <w:tcW w:w="700" w:type="dxa"/>
          </w:tcPr>
          <w:p>
            <w:pPr>
              <w:spacing w:after="0" w:line="240" w:lineRule="auto"/>
            </w:pPr>
            <w:r>
              <w:rPr>
                <w:sz w:val="18"/>
              </w:rPr>
              <w:t xml:space="preserve">—</w:t>
            </w:r>
          </w:p>
        </w:tc>
        <w:tc>
          <w:tcPr>
            <w:tcW w:w="1200" w:type="dxa"/>
          </w:tcPr>
          <w:p>
            <w:pPr>
              <w:spacing w:after="0" w:line="240" w:lineRule="auto"/>
            </w:pPr>
            <w:r>
              <w:rPr>
                <w:sz w:val="18"/>
              </w:rPr>
              <w:t xml:space="preserve">24 бита</w:t>
            </w:r>
          </w:p>
        </w:tc>
        <w:tc>
          <w:tcPr>
            <w:tcW w:w="2940" w:type="dxa"/>
          </w:tcPr>
          <w:p>
            <w:pPr>
              <w:spacing w:after="0" w:line="240" w:lineRule="auto"/>
            </w:pPr>
            <w:r>
              <w:rPr>
                <w:sz w:val="18"/>
              </w:rPr>
              <w:t xml:space="preserve">Baseline DCT (Huffman)</w:t>
            </w:r>
          </w:p>
        </w:tc>
      </w:tr>
      <w:tr>
        <w:trPr>
          <w:cantSplit/>
        </w:trPr>
        <w:tc>
          <w:tcPr>
            <w:tcW w:w="2300" w:type="dxa"/>
          </w:tcPr>
          <w:p>
            <w:pPr>
              <w:spacing w:after="0" w:line="240" w:lineRule="auto"/>
            </w:pPr>
            <w:r>
              <w:rPr>
                <w:sz w:val="18"/>
              </w:rPr>
              <w:t xml:space="preserve">Fig2_19_a_.jpg</w:t>
            </w:r>
          </w:p>
        </w:tc>
        <w:tc>
          <w:tcPr>
            <w:tcW w:w="1500" w:type="dxa"/>
          </w:tcPr>
          <w:p>
            <w:pPr>
              <w:spacing w:after="0" w:line="240" w:lineRule="auto"/>
            </w:pPr>
            <w:r>
              <w:rPr>
                <w:sz w:val="18"/>
              </w:rPr>
              <w:t xml:space="preserve">1024 × 1024</w:t>
            </w:r>
          </w:p>
        </w:tc>
        <w:tc>
          <w:tcPr>
            <w:tcW w:w="700" w:type="dxa"/>
          </w:tcPr>
          <w:p>
            <w:pPr>
              <w:spacing w:after="0" w:line="240" w:lineRule="auto"/>
            </w:pPr>
            <w:r>
              <w:rPr>
                <w:sz w:val="18"/>
              </w:rPr>
              <w:t xml:space="preserve">—</w:t>
            </w:r>
          </w:p>
        </w:tc>
        <w:tc>
          <w:tcPr>
            <w:tcW w:w="1200" w:type="dxa"/>
          </w:tcPr>
          <w:p>
            <w:pPr>
              <w:spacing w:after="0" w:line="240" w:lineRule="auto"/>
            </w:pPr>
            <w:r>
              <w:rPr>
                <w:sz w:val="18"/>
              </w:rPr>
              <w:t xml:space="preserve">24 бита</w:t>
            </w:r>
          </w:p>
        </w:tc>
        <w:tc>
          <w:tcPr>
            <w:tcW w:w="2940" w:type="dxa"/>
          </w:tcPr>
          <w:p>
            <w:pPr>
              <w:spacing w:after="0" w:line="240" w:lineRule="auto"/>
            </w:pPr>
            <w:r>
              <w:rPr>
                <w:sz w:val="18"/>
              </w:rPr>
              <w:t xml:space="preserve">Baseline DCT (Huffman)</w:t>
            </w:r>
          </w:p>
        </w:tc>
      </w:tr>
      <w:tr>
        <w:trPr>
          <w:cantSplit/>
        </w:trPr>
        <w:tc>
          <w:tcPr>
            <w:tcW w:w="2300" w:type="dxa"/>
          </w:tcPr>
          <w:p>
            <w:pPr>
              <w:spacing w:after="0" w:line="240" w:lineRule="auto"/>
            </w:pPr>
            <w:r>
              <w:rPr>
                <w:sz w:val="18"/>
              </w:rPr>
              <w:t xml:space="preserve">Fig2_22_a_.jpg</w:t>
            </w:r>
          </w:p>
        </w:tc>
        <w:tc>
          <w:tcPr>
            <w:tcW w:w="1500" w:type="dxa"/>
          </w:tcPr>
          <w:p>
            <w:pPr>
              <w:spacing w:after="0" w:line="240" w:lineRule="auto"/>
            </w:pPr>
            <w:r>
              <w:rPr>
                <w:sz w:val="18"/>
              </w:rPr>
              <w:t xml:space="preserve">300 × 300</w:t>
            </w:r>
          </w:p>
        </w:tc>
        <w:tc>
          <w:tcPr>
            <w:tcW w:w="700" w:type="dxa"/>
          </w:tcPr>
          <w:p>
            <w:pPr>
              <w:spacing w:after="0" w:line="240" w:lineRule="auto"/>
            </w:pPr>
            <w:r>
              <w:rPr>
                <w:sz w:val="18"/>
              </w:rPr>
              <w:t xml:space="preserve">—</w:t>
            </w:r>
          </w:p>
        </w:tc>
        <w:tc>
          <w:tcPr>
            <w:tcW w:w="1200" w:type="dxa"/>
          </w:tcPr>
          <w:p>
            <w:pPr>
              <w:spacing w:after="0" w:line="240" w:lineRule="auto"/>
            </w:pPr>
            <w:r>
              <w:rPr>
                <w:sz w:val="18"/>
              </w:rPr>
              <w:t xml:space="preserve">24 бита</w:t>
            </w:r>
          </w:p>
        </w:tc>
        <w:tc>
          <w:tcPr>
            <w:tcW w:w="2940" w:type="dxa"/>
          </w:tcPr>
          <w:p>
            <w:pPr>
              <w:spacing w:after="0" w:line="240" w:lineRule="auto"/>
            </w:pPr>
            <w:r>
              <w:rPr>
                <w:sz w:val="18"/>
              </w:rPr>
              <w:t xml:space="preserve">Baseline DCT (Huffman)</w:t>
            </w:r>
          </w:p>
        </w:tc>
      </w:tr>
      <w:tr>
        <w:trPr>
          <w:cantSplit/>
        </w:trPr>
        <w:tc>
          <w:tcPr>
            <w:tcW w:w="2300" w:type="dxa"/>
          </w:tcPr>
          <w:p>
            <w:pPr>
              <w:spacing w:after="0" w:line="240" w:lineRule="auto"/>
            </w:pPr>
            <w:r>
              <w:rPr>
                <w:sz w:val="18"/>
              </w:rPr>
              <w:t xml:space="preserve">Fig3_15_a_1top.jpg</w:t>
            </w:r>
          </w:p>
        </w:tc>
        <w:tc>
          <w:tcPr>
            <w:tcW w:w="1500" w:type="dxa"/>
          </w:tcPr>
          <w:p>
            <w:pPr>
              <w:spacing w:after="0" w:line="240" w:lineRule="auto"/>
            </w:pPr>
            <w:r>
              <w:rPr>
                <w:sz w:val="18"/>
              </w:rPr>
              <w:t xml:space="preserve">500 × 500</w:t>
            </w:r>
          </w:p>
        </w:tc>
        <w:tc>
          <w:tcPr>
            <w:tcW w:w="700" w:type="dxa"/>
          </w:tcPr>
          <w:p>
            <w:pPr>
              <w:spacing w:after="0" w:line="240" w:lineRule="auto"/>
            </w:pPr>
            <w:r>
              <w:rPr>
                <w:sz w:val="18"/>
              </w:rPr>
              <w:t xml:space="preserve">—</w:t>
            </w:r>
          </w:p>
        </w:tc>
        <w:tc>
          <w:tcPr>
            <w:tcW w:w="1200" w:type="dxa"/>
          </w:tcPr>
          <w:p>
            <w:pPr>
              <w:spacing w:after="0" w:line="240" w:lineRule="auto"/>
            </w:pPr>
            <w:r>
              <w:rPr>
                <w:sz w:val="18"/>
              </w:rPr>
              <w:t xml:space="preserve">24 бита</w:t>
            </w:r>
          </w:p>
        </w:tc>
        <w:tc>
          <w:tcPr>
            <w:tcW w:w="2940" w:type="dxa"/>
          </w:tcPr>
          <w:p>
            <w:pPr>
              <w:spacing w:after="0" w:line="240" w:lineRule="auto"/>
            </w:pPr>
            <w:r>
              <w:rPr>
                <w:sz w:val="18"/>
              </w:rPr>
              <w:t xml:space="preserve">Baseline DCT (Huffman)</w:t>
            </w:r>
          </w:p>
        </w:tc>
      </w:tr>
      <w:tr>
        <w:trPr>
          <w:cantSplit/>
        </w:trPr>
        <w:tc>
          <w:tcPr>
            <w:tcW w:w="2300" w:type="dxa"/>
          </w:tcPr>
          <w:p>
            <w:pPr>
              <w:spacing w:after="0" w:line="240" w:lineRule="auto"/>
            </w:pPr>
            <w:r>
              <w:rPr>
                <w:sz w:val="18"/>
              </w:rPr>
              <w:t xml:space="preserve">Fig3_15_a_2.jpg</w:t>
            </w:r>
          </w:p>
        </w:tc>
        <w:tc>
          <w:tcPr>
            <w:tcW w:w="1500" w:type="dxa"/>
          </w:tcPr>
          <w:p>
            <w:pPr>
              <w:spacing w:after="0" w:line="240" w:lineRule="auto"/>
            </w:pPr>
            <w:r>
              <w:rPr>
                <w:sz w:val="18"/>
              </w:rPr>
              <w:t xml:space="preserve">500 × 500</w:t>
            </w:r>
          </w:p>
        </w:tc>
        <w:tc>
          <w:tcPr>
            <w:tcW w:w="700" w:type="dxa"/>
          </w:tcPr>
          <w:p>
            <w:pPr>
              <w:spacing w:after="0" w:line="240" w:lineRule="auto"/>
            </w:pPr>
            <w:r>
              <w:rPr>
                <w:sz w:val="18"/>
              </w:rPr>
              <w:t xml:space="preserve">—</w:t>
            </w:r>
          </w:p>
        </w:tc>
        <w:tc>
          <w:tcPr>
            <w:tcW w:w="1200" w:type="dxa"/>
          </w:tcPr>
          <w:p>
            <w:pPr>
              <w:spacing w:after="0" w:line="240" w:lineRule="auto"/>
            </w:pPr>
            <w:r>
              <w:rPr>
                <w:sz w:val="18"/>
              </w:rPr>
              <w:t xml:space="preserve">24 бита</w:t>
            </w:r>
          </w:p>
        </w:tc>
        <w:tc>
          <w:tcPr>
            <w:tcW w:w="2940" w:type="dxa"/>
          </w:tcPr>
          <w:p>
            <w:pPr>
              <w:spacing w:after="0" w:line="240" w:lineRule="auto"/>
            </w:pPr>
            <w:r>
              <w:rPr>
                <w:sz w:val="18"/>
              </w:rPr>
              <w:t xml:space="preserve">Baseline DCT (Huffman)</w:t>
            </w:r>
          </w:p>
        </w:tc>
      </w:tr>
    </w:tbl>
    <w:p>
      <w:pPr>
        <w:spacing w:after="0"/>
      </w:pPr>
    </w:p>
    <w:p>
      <w:pPr>
        <w:ind w:firstLine="709"/>
        <w:jc w:val="both"/>
      </w:pPr>
      <w:r>
        <w:t xml:space="preserve">Значения размера и формата совпали с результатами библиотеки Pillow. Остальные форматы и «битые» файлы проверены на сгенерированных образцах.</w:t>
      </w:r>
    </w:p>
    <w:p>
      <w:pPr>
        <w:keepNext/>
        <w:spacing w:before="280"/>
      </w:pPr>
      <w:r>
        <w:rPr>
          <w:b/>
          <w:sz w:val="32"/>
        </w:rPr>
        <w:t xml:space="preserve">Вывод</w:t>
      </w:r>
    </w:p>
    <w:p>
      <w:pPr>
        <w:ind w:firstLine="709"/>
        <w:jc w:val="both"/>
      </w:pPr>
      <w:r>
        <w:t xml:space="preserve">Основные сведения об изображении лежат в заголовках, поэтому для их получения достаточно прочитать малую часть файла, что даёт скорость на больших папках. Расположение полей зависит от формата: чанки у PNG, маркеры у JPEG, теги IFD у TIFF, фиксированные структуры у BMP и PCX. Разрешение записано не всегда, и «—» — корректный результат; формату нужно доверять по сигнатуре, а не по расширению, целостность файла проверяется по завершающим маркерам.</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