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0:47:48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lgsp-bl1-10.184.250.18-centos7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Centos7-10.184.250.16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lgsp-nginx-10.184.250.19-centos7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lgsp-bl2-10.184.250.17-centos7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G-BITRIX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0:47:48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