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24/5/2021 0:49:27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24/5/2021 0:49:27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