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1:2:47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DNS-INTER-10.184.254.205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eGov-Data-10.184.254.187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10.184.254.187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DNS-Sec-2-10.184.254.212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15: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16: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19: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20: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21: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22: eGov_Web_HuyenTP_1-10.184.254.190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23: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24: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25: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26: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27: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G-COMMVAULT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28: Commvault-10.184.254.164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29: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G-AV_BKAV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30: AV_BKAV-10.184.254.198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31: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32: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33: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G-PAHT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10.184.254.222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34: PAHT_WEB-10.184.254.222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10.184.254.222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24/5/2021 1:2:47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