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b/>
          <w:i w:val="0"/>
          <w:sz w:val="28"/>
        </w:rPr>
        <w:t>Обратный дизайн условий синтеза металл-органических каркасов по заданным структурно-энергетическим характеристикам методами машинного обучения с конформной оценкой неопределённости</w:t>
      </w:r>
    </w:p>
    <w:p>
      <w:pPr>
        <w:spacing w:before="0" w:after="240"/>
        <w:jc w:val="center"/>
      </w:pPr>
      <w:r>
        <w:rPr>
          <w:b w:val="0"/>
          <w:i/>
          <w:sz w:val="24"/>
        </w:rPr>
        <w:t>[Авторы, аффилиации, контакты]</w:t>
      </w:r>
    </w:p>
    <w:p>
      <w:pPr>
        <w:keepNext/>
        <w:spacing w:before="200" w:after="80"/>
        <w:jc w:val="left"/>
      </w:pPr>
      <w:r>
        <w:rPr>
          <w:b/>
          <w:i w:val="0"/>
          <w:sz w:val="24"/>
        </w:rPr>
        <w:t>Аннотация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Представлен сквозной конвейер машинного обучения для решения обратной задачи синтеза пористых металл-органических каркасов (MOF): подбора условий синтеза, обеспечивающих заданные структурно-энергетические характеристики (СЭХ) адсорбента — характеристическую энергию адсорбции E₀, эффективную полуширину микропор x₀ и удельную площадь поверхности мезопор Sme. На экспериментальной базе из 380 воспроизводимых методик синтеза (7 металлов, 4 лиганда, 8 растворителей, 17 химических систем «металл–лиганд») обучена прямая суррогатная модель «условия синтеза → СЭХ»: ансамбль градиентного бустинга CatBoost с отбором признаков внутри каждого фолда кросс-валидации, групповым контролем утечек по повторным рецептурам и конформными интервалами предсказаний (MAPIE, метод CV+). На групповой кросс-валидации модель достигает R² = 0.81 (E₀), 0.81 (x₀) и 0.75 (Sme); эмпирическое покрытие 90-процентных интервалов составляет 98.7–99.5 %. Обратная задача решается целевой байесовской оптимизацией в смешанном пространстве условий синтеза (BoFire: стратегия qParEGO с функцией приобретения qLogNEI) с явными физико-химическими ограничениями на температурный режим, температуру кипения растворителя и стехиометрию; результатом является ранжированный диверсифицированный список рецептур с интервалами предсказаний. Строгая проверка переносимости по протоколу leave-one-group-out на 17 системах «металл–лиганд» с контролем y-рандомизацией показала отрицательные R² для всех трёх таргетов: ограничивающим фактором является химическое разнообразие обучающих данных, а не выбор алгоритма, и внутренние оценки качества применимы только к химическим системам, представленным в данных. Конвейер полностью автоматизирован и воспроизводим.</w:t>
      </w:r>
    </w:p>
    <w:p>
      <w:pPr>
        <w:spacing w:before="120" w:after="0"/>
        <w:jc w:val="both"/>
      </w:pPr>
      <w:r>
        <w:rPr>
          <w:b w:val="0"/>
          <w:i/>
          <w:sz w:val="24"/>
        </w:rPr>
        <w:t>Ключевые слова: металл-органические каркасы; адсорбция; структурно-энергетические характеристики; машинное обучение; градиентный бустинг; конформное предсказание; байесовская оптимизация; обратный дизайн.</w:t>
      </w:r>
    </w:p>
    <w:p>
      <w:pPr>
        <w:keepNext/>
        <w:spacing w:before="280" w:after="160"/>
        <w:jc w:val="center"/>
      </w:pPr>
      <w:r>
        <w:rPr>
          <w:b/>
          <w:i w:val="0"/>
          <w:sz w:val="24"/>
        </w:rPr>
        <w:t>INTRODUCTION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Активное развитие экспериментальных и теоретических массивов данных способствует увеличению роли машинного обучения (ML) в области разработки и открытия новых материалов. Объединение больших данных (Big Data) и ML часто определяется как «четвёртая научная парадигма» [1]. Последние годы продемонстрировали эффективность применения не только классических методов машинного обучения, но и современных методов глубокого обучения для предсказания свойств материалов [2], адсорбции на поверхности [3], настройки параметров силового поля [4], структуры белков [5, 6] и других задач материаловедения.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Металл-органические каркасы (metal-organic frameworks, MOF) являются классом кристаллических наноматериалов с большим структурным разнообразием и высокой пористостью. MOF были признаны одной из «десяти лучших новых технологий в химии» по версии Международного союза по чистой и прикладной химии (IUPAC). Сочетание металлических кластеров и органических лигандов при синтезе MOF приводит к появлению уникальных физических и химических свойств, таких как высокая термическая стабильность (до 500 °C), разнообразная пористость (0.3–0.9), большие удельные поверхности (&gt;8000 м²/г), низкая насыпная плотность (0.2 г/см³), широкий диапазон размеров пор (3–100 Å) [7]. Такие пористые материалы обладают способностью избирательной адсорбции, то есть могут поглощать целевые компоненты из газов и жидкостей, что делает их привлекательными для множества применений: хранения и разделения газов [8], катализа [9], биовизуализации [10], аккумуляторов [11], доставки лекарств [12] и других.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В настоящее время синтезировано уже более 100 тысяч различных типов MOF, и это число постоянно растёт, поскольку возможностей для проектирования таких структур существует практически бесконечное количество [13]. С развитием вычислительных мощностей суперкомпьютеров исследование взаимосвязи между компонентами материалов, их структурами и свойствами с помощью компьютерного моделирования становится всё более актуальным. Моделирование методом Монте-Карло в большом каноническом ансамбле (GCMC) и молекулярной динамики (MD) широко применяется для изучения процессов адсорбции [14, 15], разделения [16, 17] и хранения газов [18] в MOF; методы на основе теории функционала плотности (DFT) успешно используются для изучения химических реакций при многофазном катализе [19]. Однако GCMC, DFT и другие методы имитационного моделирования требуют значительных вычислительных затрат и времени, что ограничивает их применение в крупномасштабном скрининге материалов.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Модели машинного обучения становятся всё более популярными в области прогнозирования свойств MOF: в отличие от имитационного моделирования, обученная ML-модель выдаёт предсказание свойств практически мгновенно [20–26]. За последнее десятилетие создано несколько больших наборов данных MOF (CoRE MOF 2019, гипотетические MOF, QMOF), содержащих атомные структуры и свойства, такие как поглощение CO₂ и ширина запрещённой зоны [27, 28]. Классические методы — деревья решений, случайный лес, гауссовские процессы, метод опорных векторов — широко использовались для прогнозирования адсорбции газов [29–32]; модели глубокого обучения (многослойные перцептроны, графовые нейронные сети и трансформеры) также показали высокую эффективность в этих задачах [33–35], как и трансферное обучение [36].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Однако одной из наиболее сложных и практически значимых задач остаётся предсказание методик синтеза MOF-адсорбентов, поскольку точный подбор условий и параметров исходных веществ критически влияет на пористую структуру получаемого материала. В пионерской работе Luo et al. [37] алгоритмы регрессии (случайный лес и нейронные сети) применялись для предсказания параметров синтеза — температуры, растворителя, времени синтеза и добавок — по дескрипторам компонентов каркаса. Тем не менее обратная задача — систематический подбор условий синтеза MOF по заданным сорбционным характеристикам с контролируемой оценкой неопределённости и физико-химическими ограничениями — ранее систематически не исследовалась.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В настоящей работе обратная задача решается декомпозицией на две стадии. Сначала на экспериментальной базе из 380 воспроизводимых методик синтеза MOF-адсорбентов обучается прямая суррогатная модель f: «условия синтеза → СЭХ», предсказывающая три целевые характеристики пористой структуры: характеристическую энергию адсорбции E₀ (кДж/моль), эффективную полуширину микропор x₀ (нм) и удельную площадь поверхности мезопор Sme (м²/г). Затем обратная задача решается как задача целевой (target-oriented) байесовской оптимизации в смешанном пространстве условий синтеза: оптимизатор ищет рецептуры, для которых предсказания суррогатной модели максимально близки к заданному профилю СЭХ при соблюдении явных физико-химических ограничений (порядок температурных стадий, температура кипения растворителя, стехиометрический диапазон, физические границы E₀). Общая схема конвейера приведена на рис. 1.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Основные результаты работы: (1) сформирована экспериментальная база из 380 воспроизводимых синтезов с вычисленными СЭХ; (2) построен конвейер обучения прямой модели с системным контролем утечек данных — групповой кросс-валидацией по уникальным рецептурам и отбором признаков строго внутри каждого фолда, стабилизированным бутстрэп-процедурой; (3) предсказания снабжены конформными интервалами (MAPIE, CV+) и количественными показателями их калибровки; (4) проведена строгая оценка переносимости на незнакомые химические системы (leave-one-group-out по парам «металл–лиганд» с контролем y-рандомизацией), показавшая, что узким местом является химическое разнообразие данных, а не алгоритм; (5) реализован производственный контур обратного дизайна на основе нативной байесовской оптимизации BoFire с диверсификацией списка рекомендуемых рецептур; (6) прямая модель сопоставлена с табличным foundation-трансформером TabPFN-3.</w:t>
      </w:r>
    </w:p>
    <w:p>
      <w:pPr>
        <w:keepNext/>
        <w:spacing w:before="280" w:after="160"/>
        <w:jc w:val="center"/>
      </w:pPr>
      <w:r>
        <w:rPr>
          <w:b/>
          <w:i w:val="0"/>
          <w:sz w:val="24"/>
        </w:rPr>
        <w:t>DATA COLLECTION AND DATASET CREATION</w:t>
      </w:r>
    </w:p>
    <w:p>
      <w:pPr>
        <w:keepNext/>
        <w:spacing w:before="200" w:after="80"/>
        <w:jc w:val="left"/>
      </w:pPr>
      <w:r>
        <w:rPr>
          <w:b/>
          <w:i w:val="0"/>
          <w:sz w:val="24"/>
        </w:rPr>
        <w:t>2.1. Источник экспериментальных данных и расчёт СЭХ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Исходными данными послужили экспериментальные файлы физисорбционного анализа — изотермы адсорбции стандартного пара N₂ при температуре 77 K, полученные с использованием программного обеспечения ASiQWin, взаимодействующего с прецизионным анализатором химической и физической сорбции Quantachrome Autosorb-iQ-C. Выходные файлы содержат температуру регенерации образца Tрег (°C), массу образца, относительное давление p/p₀ и объём адсорбированного газа при нормальных условиях (Volume STP). Параметр p/p₀ преобразуется в абсолютное давление (кПа), а Volume STP конвертируется в величину адсорбции a (ммоль/г) делением на молярный объём 22.4 л/моль.</w:t>
      </w:r>
    </w:p>
    <w:p>
      <w:pPr>
        <w:spacing w:before="0" w:after="0"/>
        <w:ind w:firstLine="709"/>
        <w:jc w:val="both"/>
      </w:pPr>
      <w:r>
        <w:rPr>
          <w:sz w:val="24"/>
        </w:rPr>
        <w:t xml:space="preserve">На основе изотерм рассчитывались структурно-энергетические характеристики: удельная площадь поверхности </w:t>
      </w:r>
      <m:oMath>
        <m:sSub>
          <m:e>
            <m:r>
              <m:t xml:space="preserve">S</m:t>
            </m:r>
          </m:e>
          <m:sub>
            <m:r>
              <m:rPr>
                <m:sty m:val="p"/>
              </m:rPr>
              <m:t xml:space="preserve">BET</m:t>
            </m:r>
          </m:sub>
        </m:sSub>
      </m:oMath>
      <w:r>
        <w:rPr>
          <w:sz w:val="24"/>
        </w:rPr>
        <w:t xml:space="preserve"> (м²/г) по методу Брунауэра–Эммета–Теллера [38]; предельная величина адсорбции </w:t>
      </w:r>
      <m:oMath>
        <m:sSub>
          <m:e>
            <m:r>
              <m:t xml:space="preserve">a</m:t>
            </m:r>
          </m:e>
          <m:sub>
            <m:r>
              <m:t xml:space="preserve">0</m:t>
            </m:r>
          </m:sub>
        </m:sSub>
      </m:oMath>
      <w:r>
        <w:rPr>
          <w:sz w:val="24"/>
        </w:rPr>
        <w:t xml:space="preserve"> (ммоль/г); удельный объём микропор </w:t>
      </w:r>
      <m:oMath>
        <m:sSub>
          <m:e>
            <m:r>
              <m:t xml:space="preserve">W</m:t>
            </m:r>
          </m:e>
          <m:sub>
            <m:r>
              <m:t xml:space="preserve">0</m:t>
            </m:r>
          </m:sub>
        </m:sSub>
      </m:oMath>
      <w:r>
        <w:rPr>
          <w:sz w:val="24"/>
        </w:rPr>
        <w:t xml:space="preserve"> (см³/г); стандартная характеристическая энергия адсорбции бензола </w:t>
      </w:r>
      <m:oMath>
        <m:sSub>
          <m:e>
            <m:r>
              <m:t xml:space="preserve">E</m:t>
            </m:r>
          </m:e>
          <m:sub>
            <m:r>
              <m:t xml:space="preserve">0</m:t>
            </m:r>
          </m:sub>
        </m:sSub>
      </m:oMath>
      <w:r>
        <w:rPr>
          <w:sz w:val="24"/>
        </w:rPr>
        <w:t xml:space="preserve"> (кДж/моль); характеристическая энергия адсорбции азота </w:t>
      </w:r>
      <m:oMath>
        <m:r>
          <m:t xml:space="preserve">E</m:t>
        </m:r>
      </m:oMath>
      <w:r>
        <w:rPr>
          <w:sz w:val="24"/>
        </w:rPr>
        <w:t xml:space="preserve"> (кДж/моль); средняя эффективная полуширина микропор </w:t>
      </w:r>
      <m:oMath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</m:oMath>
      <w:r>
        <w:rPr>
          <w:sz w:val="24"/>
        </w:rPr>
        <w:t xml:space="preserve"> (нм) — согласно теории объёмного заполнения микропор (ТОЗМ) М. М. Дубинина [39]; объём мезопор </w:t>
      </w:r>
      <m:oMath>
        <m:sSub>
          <m:e>
            <m:r>
              <m:t xml:space="preserve">W</m:t>
            </m:r>
          </m:e>
          <m:sub>
            <m:r>
              <m:rPr>
                <m:sty m:val="p"/>
              </m:rPr>
              <m:t xml:space="preserve">me</m:t>
            </m:r>
          </m:sub>
        </m:sSub>
      </m:oMath>
      <w:r>
        <w:rPr>
          <w:sz w:val="24"/>
        </w:rPr>
        <w:t xml:space="preserve"> (см³/г); площадь поверхности мезопор </w:t>
      </w:r>
      <m:oMath>
        <m:sSub>
          <m:e>
            <m:r>
              <m:t xml:space="preserve">S</m:t>
            </m:r>
          </m:e>
          <m:sub>
            <m:r>
              <m:rPr>
                <m:sty m:val="p"/>
              </m:rPr>
              <m:t xml:space="preserve">me</m:t>
            </m:r>
          </m:sub>
        </m:sSub>
      </m:oMath>
      <w:r>
        <w:rPr>
          <w:sz w:val="24"/>
        </w:rPr>
        <w:t xml:space="preserve"> (м²/г); суммарный объём пор </w:t>
      </w:r>
      <m:oMath>
        <m:sSub>
          <m:e>
            <m:r>
              <m:t xml:space="preserve">W</m:t>
            </m:r>
          </m:e>
          <m:sub>
            <m:r>
              <m:t xml:space="preserve">s</m:t>
            </m:r>
          </m:sub>
        </m:sSub>
      </m:oMath>
      <w:r>
        <w:rPr>
          <w:sz w:val="24"/>
        </w:rPr>
        <w:t xml:space="preserve"> (см³/г). Использованные методы соответствуют рекомендациям IUPAC по описанию текстурных свойств пористых материалов [41]. Дополнительно вычислялись производные термодинамические дескрипторы: адсорбционный потенциал </w:t>
      </w:r>
      <m:oMath>
        <m:r>
          <m:t xml:space="preserve">E</m:t>
        </m:r>
        <m:r>
          <m:t xml:space="preserve">·</m:t>
        </m:r>
        <m:sSub>
          <m:e>
            <m:r>
              <m:t xml:space="preserve">W</m:t>
            </m:r>
          </m:e>
          <m:sub>
            <m:r>
              <m:t xml:space="preserve">s</m:t>
            </m:r>
          </m:sub>
        </m:sSub>
      </m:oMath>
      <w:r>
        <w:rPr>
          <w:sz w:val="24"/>
        </w:rPr>
        <w:t xml:space="preserve">, плотность ёмкости </w:t>
      </w:r>
      <m:oMath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0</m:t>
                </m:r>
              </m:sub>
            </m:sSub>
          </m:num>
          <m:den>
            <m:sSub>
              <m:e>
                <m:r>
                  <m:t xml:space="preserve">S</m:t>
                </m:r>
              </m:e>
              <m:sub>
                <m:r>
                  <m:rPr>
                    <m:sty m:val="p"/>
                  </m:rPr>
                  <m:t xml:space="preserve">BET</m:t>
                </m:r>
              </m:sub>
            </m:sSub>
          </m:den>
        </m:f>
      </m:oMath>
      <w:r>
        <w:rPr>
          <w:sz w:val="24"/>
        </w:rPr>
        <w:t xml:space="preserve">, отношение </w:t>
      </w:r>
      <m:oMath>
        <m:f>
          <m:num>
            <m:sSub>
              <m:e>
                <m:r>
                  <m:t xml:space="preserve">S</m:t>
                </m:r>
              </m:e>
              <m:sub>
                <m:r>
                  <m:rPr>
                    <m:sty m:val="p"/>
                  </m:rPr>
                  <m:t xml:space="preserve">BET</m:t>
                </m:r>
              </m:sub>
            </m:sSub>
          </m:num>
          <m:den>
            <m:sSub>
              <m:e>
                <m:r>
                  <m:t xml:space="preserve">W</m:t>
                </m:r>
              </m:e>
              <m:sub>
                <m:r>
                  <m:t xml:space="preserve">0</m:t>
                </m:r>
              </m:sub>
            </m:sSub>
          </m:den>
        </m:f>
      </m:oMath>
      <w:r>
        <w:rPr>
          <w:sz w:val="24"/>
        </w:rPr>
        <w:t xml:space="preserve">, отношение энергий </w:t>
      </w:r>
      <m:oMath>
        <m:f>
          <m:num>
            <m:r>
              <m:t xml:space="preserve">E</m:t>
            </m:r>
          </m:num>
          <m:den>
            <m:sSub>
              <m:e>
                <m:r>
                  <m:t xml:space="preserve">E</m:t>
                </m:r>
              </m:e>
              <m:sub>
                <m:r>
                  <m:t xml:space="preserve">0</m:t>
                </m:r>
              </m:sub>
            </m:sSub>
          </m:den>
        </m:f>
      </m:oMath>
      <w:r>
        <w:rPr>
          <w:sz w:val="24"/>
        </w:rPr>
        <w:t xml:space="preserve">, константа равновесия </w:t>
      </w:r>
      <m:oMath>
        <m:r>
          <m:t xml:space="preserve">K</m:t>
        </m:r>
      </m:oMath>
      <w:r>
        <w:rPr>
          <w:sz w:val="24"/>
        </w:rPr>
        <w:t xml:space="preserve"> и изменение свободной энергии Гиббса </w:t>
      </w:r>
      <m:oMath>
        <m:r>
          <m:rPr>
            <m:sty m:val="p"/>
          </m:rPr>
          <m:t xml:space="preserve">Δ</m:t>
        </m:r>
        <m:r>
          <m:t xml:space="preserve">G</m:t>
        </m:r>
      </m:oMath>
      <w:r>
        <w:rPr>
          <w:sz w:val="24"/>
        </w:rPr>
        <w:t>. Подчеркнём, что все величины, производные от адсорбционных измерений, используются в конвейере исключительно как выходы характеризации и для физико-химической валидации данных; во входные признаки прямой модели они не входят (контроль утечки целевой переменной, см. §3.3).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Вычисление всех СЭХ автоматизировано Python-скриптами, что значительно ускорило обработку по сравнению с ручным расчётом и обеспечило воспроизводимость результатов. Скрипты обрабатывают как нативные выходные файлы ASiQWin, так и табличные данные изотерм из других источников; результаты экспортируются в структурированный формат CSV в соответствии с принципами FAIR [42].</w:t>
      </w:r>
    </w:p>
    <w:p>
      <w:pPr>
        <w:keepNext/>
        <w:spacing w:before="200" w:after="80"/>
        <w:jc w:val="left"/>
      </w:pPr>
      <w:r>
        <w:rPr>
          <w:b/>
          <w:i w:val="0"/>
          <w:sz w:val="24"/>
        </w:rPr>
        <w:t>2.2. Параметры методики синтеза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Каждая запись базы данных содержит параметры воспроизводимой методики синтеза: металл (источник — неорганическая соль в виде кристаллогидрата нитрата, например Cu(NO₃)₂·3H₂O, Zn(NO₃)₂·6H₂O); лиганд — органическая поликарбоновая кислота (терефталевая, BDC; тримезиновая, BTC; 4,4′,4″-бензол-1,3,5-триилтрибензойная, BTB; 2-аминотерефталевая, NH₂-BDC); растворитель; массу соли m(соли), г; массу кислоты m(кислоты), г; объём растворителя для синтеза Vсин, мл; температуру синтеза Tсин, °C; температуру сушки Tсуш, °C; температуру регенерации Tрег, °C. Эти девять параметров образуют пространство входов прямой модели и пространство поиска обратной задачи.</w:t>
      </w:r>
    </w:p>
    <w:p>
      <w:pPr>
        <w:keepNext/>
        <w:spacing w:before="200" w:after="80"/>
        <w:jc w:val="left"/>
      </w:pPr>
      <w:r>
        <w:rPr>
          <w:b/>
          <w:i w:val="0"/>
          <w:sz w:val="24"/>
        </w:rPr>
        <w:t>2.3. Состав и особенности датасета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Итоговая база данных содержит 380 записей «условия синтеза + СЭХ» (54 исходные колонки; после обогащения дескрипторами — 91). Химическое пространство охватывает 7 металлов (Al, Cu, Fe, La, Y, Zn, Zr), 4 лиганда (BDC, BTC, BTB, NH₂-BDC) и 8 растворителей: ДМФА, ДМСО, этанол, ацетонитрил, вода и смеси ДМФА/вода, ДМФА/этанол, ДМФА/этанол/вода. Комбинации «металл–лиганд» образуют 17 химических систем с выраженным дисбалансом (рис. 2а): на три крупнейшие системы (Cu|BTC — 130, Al|BTC — 83, Fe|BDC — 65 записей) приходится 73 % выборки, шесть систем содержат не более трёх записей, пять представлены единственным образцом. В базе присутствуют 38 повторных рецептур (записей с идентичными девятью синтез-входами, как правило — повторные измерения одного синтеза); число уникальных рецептур — 342. Это свойство данных критично для корректной оценки качества моделей (см. §3.3).</w:t>
      </w:r>
    </w:p>
    <w:p>
      <w:pPr>
        <w:spacing w:before="0" w:after="0"/>
        <w:ind w:firstLine="709"/>
        <w:jc w:val="both"/>
      </w:pPr>
      <w:r>
        <w:rPr>
          <w:sz w:val="24"/>
        </w:rPr>
        <w:t xml:space="preserve">Статистика целевых переменных приведена в табл. 1, их распределения — на рис. 2в–д. Диапазоны охватывают структуры от ультрамикропористых (x₀ ≈ 0.20 нм при E₀ ≈ 61 кДж/моль) до супермикропористых (x₀ ≈ 1.26 нм при E₀ ≈ 9.5 кДж/моль). Величины E₀ и x₀ связаны эмпирическим соотношением Дубинина–Стёкли </w:t>
      </w:r>
      <m:oMath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  <m:r>
          <m:t xml:space="preserve">≈</m:t>
        </m:r>
        <m:f>
          <m:num>
            <m:r>
              <m:t xml:space="preserve">12</m:t>
            </m:r>
          </m:num>
          <m:den>
            <m:sSub>
              <m:e>
                <m:r>
                  <m:t xml:space="preserve">E</m:t>
                </m:r>
              </m:e>
              <m:sub>
                <m:r>
                  <m:t xml:space="preserve">0</m:t>
                </m:r>
              </m:sub>
            </m:sSub>
          </m:den>
        </m:f>
      </m:oMath>
      <w:r>
        <w:rPr>
          <w:sz w:val="24"/>
        </w:rPr>
        <w:t xml:space="preserve"> [40], что делает данные внутренне согласованными (рис. 2б). Наиболее сложным таргетом является Sme: распределение характеризуется физическим спайком «мезопоры отсутствуют» (31 нулевое значение, 90 значений &lt; 5 м²/г — 24 % выборки) и тяжёлым правым хвостом до 1450 м²/г.</w:t>
      </w:r>
    </w:p>
    <w:p>
      <w:pPr>
        <w:spacing w:before="0" w:after="0"/>
        <w:ind w:firstLine="709"/>
        <w:jc w:val="both"/>
      </w:pPr>
      <w:r>
        <w:rPr>
          <w:sz w:val="24"/>
        </w:rPr>
        <w:t xml:space="preserve">Отметим также, что загрузочное мольное отношение реагентов </w:t>
      </w:r>
      <m:oMath>
        <m:r>
          <m:t xml:space="preserve">R=</m:t>
        </m:r>
        <m:f>
          <m:num>
            <m:r>
              <m:t xml:space="preserve">n</m:t>
            </m:r>
            <m:r>
              <m:rPr>
                <m:sty m:val="p"/>
              </m:rPr>
              <m:t xml:space="preserve">(соли)</m:t>
            </m:r>
          </m:num>
          <m:den>
            <m:r>
              <m:t xml:space="preserve">n</m:t>
            </m:r>
            <m:r>
              <m:rPr>
                <m:sty m:val="p"/>
              </m:rPr>
              <m:t xml:space="preserve">(кислоты)</m:t>
            </m:r>
          </m:den>
        </m:f>
      </m:oMath>
      <w:r>
        <w:rPr>
          <w:sz w:val="24"/>
        </w:rPr>
        <w:t xml:space="preserve"> систематически отличается от формульной стехиометрии каркасов вследствие намеренного избытка реагента и модуляции синтеза: например, для Cu|BTC медианное </w:t>
      </w:r>
      <m:oMath>
        <m:r>
          <m:t xml:space="preserve">R≈1.71</m:t>
        </m:r>
      </m:oMath>
      <w:r>
        <w:rPr>
          <w:sz w:val="24"/>
        </w:rPr>
        <w:t xml:space="preserve"> при формульном 1.5, для Fe|BDC — </w:t>
      </w:r>
      <m:oMath>
        <m:r>
          <m:t xml:space="preserve">R≈0.66</m:t>
        </m:r>
      </m:oMath>
      <w:r>
        <w:rPr>
          <w:sz w:val="24"/>
        </w:rPr>
        <w:t xml:space="preserve"> при 1.0. Поэтому валидация стехиометрии в конвейере построена на эмпирических распределениях, а не на жёстких формульных отношениях (§2.5).</w:t>
      </w:r>
    </w:p>
    <w:p>
      <w:pPr>
        <w:spacing w:before="200" w:after="80" w:line="240" w:lineRule="auto"/>
        <w:jc w:val="left"/>
      </w:pPr>
      <w:r>
        <w:rPr>
          <w:b w:val="0"/>
          <w:i w:val="0"/>
          <w:sz w:val="22"/>
        </w:rPr>
        <w:t>Таблица 1 — Целевые структурно-энергетические характеристики (n = 380)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474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Таргет</w:t>
            </w:r>
          </w:p>
        </w:tc>
        <w:tc>
          <w:tcPr>
            <w:tcW w:type="dxa" w:w="3175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Физический смысл</w:t>
            </w:r>
          </w:p>
        </w:tc>
        <w:tc>
          <w:tcPr>
            <w:tcW w:type="dxa" w:w="850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мин</w:t>
            </w:r>
          </w:p>
        </w:tc>
        <w:tc>
          <w:tcPr>
            <w:tcW w:type="dxa" w:w="850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макс</w:t>
            </w:r>
          </w:p>
        </w:tc>
        <w:tc>
          <w:tcPr>
            <w:tcW w:type="dxa" w:w="1020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медиана</w:t>
            </w:r>
          </w:p>
        </w:tc>
        <w:tc>
          <w:tcPr>
            <w:tcW w:type="dxa" w:w="1020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среднее</w:t>
            </w:r>
          </w:p>
        </w:tc>
        <w:tc>
          <w:tcPr>
            <w:tcW w:type="dxa" w:w="850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σ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20" w:before="20"/>
              <w:jc w:val="left"/>
            </w:pPr>
            <w:r/>
            <w:r>
              <w:rPr>
                <w:sz w:val="20"/>
              </w:rPr>
              <w:t>E₀, кДж/моль</w:t>
            </w:r>
          </w:p>
        </w:tc>
        <w:tc>
          <w:tcPr>
            <w:tcW w:type="dxa" w:w="3175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характеристическая энергия адсорбции (бензол)</w:t>
            </w:r>
          </w:p>
        </w:tc>
        <w:tc>
          <w:tcPr>
            <w:tcW w:type="dxa" w:w="85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9.5</w:t>
            </w:r>
          </w:p>
        </w:tc>
        <w:tc>
          <w:tcPr>
            <w:tcW w:type="dxa" w:w="85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61.2</w:t>
            </w:r>
          </w:p>
        </w:tc>
        <w:tc>
          <w:tcPr>
            <w:tcW w:type="dxa" w:w="102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19.8</w:t>
            </w:r>
          </w:p>
        </w:tc>
        <w:tc>
          <w:tcPr>
            <w:tcW w:type="dxa" w:w="102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24.8</w:t>
            </w:r>
          </w:p>
        </w:tc>
        <w:tc>
          <w:tcPr>
            <w:tcW w:type="dxa" w:w="85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10.9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20" w:before="20"/>
              <w:jc w:val="left"/>
            </w:pPr>
            <w:r/>
            <w:r>
              <w:rPr>
                <w:sz w:val="20"/>
              </w:rPr>
              <w:t>x₀, нм</w:t>
            </w:r>
          </w:p>
        </w:tc>
        <w:tc>
          <w:tcPr>
            <w:tcW w:type="dxa" w:w="3175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эффективная полуширина микропор</w:t>
            </w:r>
          </w:p>
        </w:tc>
        <w:tc>
          <w:tcPr>
            <w:tcW w:type="dxa" w:w="85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0.196</w:t>
            </w:r>
          </w:p>
        </w:tc>
        <w:tc>
          <w:tcPr>
            <w:tcW w:type="dxa" w:w="85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1.261</w:t>
            </w:r>
          </w:p>
        </w:tc>
        <w:tc>
          <w:tcPr>
            <w:tcW w:type="dxa" w:w="102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0.605</w:t>
            </w:r>
          </w:p>
        </w:tc>
        <w:tc>
          <w:tcPr>
            <w:tcW w:type="dxa" w:w="102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0.576</w:t>
            </w:r>
          </w:p>
        </w:tc>
        <w:tc>
          <w:tcPr>
            <w:tcW w:type="dxa" w:w="85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0.223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20" w:before="20"/>
              <w:jc w:val="left"/>
            </w:pPr>
            <w:r/>
            <w:r>
              <w:rPr>
                <w:sz w:val="20"/>
              </w:rPr>
              <w:t>Sme, м²/г</w:t>
            </w:r>
          </w:p>
        </w:tc>
        <w:tc>
          <w:tcPr>
            <w:tcW w:type="dxa" w:w="3175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удельная площадь поверхности мезопор</w:t>
            </w:r>
          </w:p>
        </w:tc>
        <w:tc>
          <w:tcPr>
            <w:tcW w:type="dxa" w:w="85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1450</w:t>
            </w:r>
          </w:p>
        </w:tc>
        <w:tc>
          <w:tcPr>
            <w:tcW w:type="dxa" w:w="102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24.4</w:t>
            </w:r>
          </w:p>
        </w:tc>
        <w:tc>
          <w:tcPr>
            <w:tcW w:type="dxa" w:w="102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105.4</w:t>
            </w:r>
          </w:p>
        </w:tc>
        <w:tc>
          <w:tcPr>
            <w:tcW w:type="dxa" w:w="85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186.7</w:t>
            </w:r>
          </w:p>
        </w:tc>
      </w:tr>
    </w:tbl>
    <w:p>
      <w:pPr>
        <w:spacing w:before="0" w:after="120" w:line="240" w:lineRule="auto"/>
        <w:jc w:val="both"/>
      </w:pPr>
      <w:r>
        <w:rPr>
          <w:b w:val="0"/>
          <w:i w:val="0"/>
          <w:sz w:val="24"/>
        </w:rPr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41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atas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1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b w:val="0"/>
          <w:i w:val="0"/>
          <w:sz w:val="22"/>
        </w:rPr>
        <w:t>Рисунок 2 — Состав датасета: (а) размеры химических систем «металл–лиганд» (синий — n ≥ 10, оранжевый — 3 ≤ n &lt; 10, красный — n &lt; 3); (б) согласованность E₀ и x₀ с соотношением Дубинина–Стёкли x₀ = 12/E₀; (в–д) распределения целевых переменных E₀, x₀ и Sme (пунктир — медиана)</w:t>
      </w:r>
    </w:p>
    <w:p>
      <w:pPr>
        <w:keepNext/>
        <w:spacing w:before="200" w:after="80"/>
        <w:jc w:val="left"/>
      </w:pPr>
      <w:r>
        <w:rPr>
          <w:b/>
          <w:i w:val="0"/>
          <w:sz w:val="24"/>
        </w:rPr>
        <w:t>2.4. Обогащение дескрипторами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Перед обучением каждая запись детерминированно (построчно, без использования статистик всего датасета — что исключает утечку информации между обучающей и проверочной частями) обогащается инженерными дескрипторами четырёх групп. (1) Стехиометрия и концентрации: мольное и массовое отношение реагентов (R_molar, R_mass), концентрации металла и лиганда и их логарифмы, нормированный объём растворителя, температурные производные (диапазон T_range, температура активации). (2) Физико-химические дескрипторы среды: дипольный момент и диэлектрическая проницаемость растворителя (для смесей — усреднение по компонентам); «скрытая вода» кристаллогидратов солей и истинные молярности компонентов с её учётом (Molarity_Metal, Molarity_Ligand, Molarity_H₂O_Hidden), индекс пересыщения и удельная загрузка реактора (г/мл). (3) Справочные дескрипторы реагентов: для металла — ионный радиус, электроотрицательность, степень окисления, жёсткость по Пирсону (HSAB), сродство к электрону; для лиганда — число карбоксильных групп, молекулярная масса, число ароматических колец; молярные массы солей и кислот. (4) Дескрипторы взаимодействий: отношение размеров металл/лиганд, разность электроотрицательностей Me–O, индикатор активности эффекта Яна–Теллера. Хемоинформатическая обработка выполнялась с использованием RDKit [43].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Отдельно отметим два решения, принятые по результатам аудита конвейера. Во-первых, из признаков исключены трёхмерные и топологические RDKit-дескрипторы лиганда: при всего четырёх уникальных лигандах такие дескрипторы вырождаются в таблицу подстановки из четырёх строк — модель «запоминает» лиганд, что создаёт иллюзию информативности; реальный сигнал переносят категориальный признак «Лиганд» и интерпретируемые скаляры (число карбоксильных групп, молекулярная масса). Во-вторых, проверено, что ни один из адсорбционных дескрипторов (производных от E₀, x₀, W₀ и др.) не попадает во входы прямой модели — утечка целевой переменной отсутствует.</w:t>
      </w:r>
    </w:p>
    <w:p>
      <w:pPr>
        <w:keepNext/>
        <w:spacing w:before="200" w:after="80"/>
        <w:jc w:val="left"/>
      </w:pPr>
      <w:r>
        <w:rPr>
          <w:b/>
          <w:i w:val="0"/>
          <w:sz w:val="24"/>
        </w:rPr>
        <w:t>2.5. Валидация данных</w:t>
      </w:r>
    </w:p>
    <w:p>
      <w:pPr>
        <w:spacing w:before="0" w:after="0"/>
        <w:ind w:firstLine="709"/>
        <w:jc w:val="both"/>
      </w:pPr>
      <w:r>
        <w:rPr>
          <w:sz w:val="24"/>
        </w:rPr>
        <w:t xml:space="preserve">Качество данных контролируется автоматическим валидатором с режимами warn/strict. Проверяются: положительность масс и объёмов (нарушение — ошибка); порядок температурных стадий </w:t>
      </w:r>
      <m:oMath>
        <m:sSub>
          <m:e>
            <m:r>
              <m:t xml:space="preserve">T</m:t>
            </m:r>
          </m:e>
          <m:sub>
            <m:r>
              <m:rPr>
                <m:sty m:val="p"/>
              </m:rPr>
              <m:t xml:space="preserve">суш</m:t>
            </m:r>
          </m:sub>
        </m:sSub>
        <m:r>
          <m:t xml:space="preserve">≥</m:t>
        </m:r>
        <m:sSub>
          <m:e>
            <m:r>
              <m:t xml:space="preserve">T</m:t>
            </m:r>
          </m:e>
          <m:sub>
            <m:r>
              <m:rPr>
                <m:sty m:val="p"/>
              </m:rPr>
              <m:t xml:space="preserve">син</m:t>
            </m:r>
          </m:sub>
        </m:sSub>
      </m:oMath>
      <w:r>
        <w:rPr>
          <w:sz w:val="24"/>
        </w:rPr>
        <w:t xml:space="preserve">, </w:t>
      </w:r>
      <m:oMath>
        <m:sSub>
          <m:e>
            <m:r>
              <m:t xml:space="preserve">T</m:t>
            </m:r>
          </m:e>
          <m:sub>
            <m:r>
              <m:rPr>
                <m:sty m:val="p"/>
              </m:rPr>
              <m:t xml:space="preserve">рег</m:t>
            </m:r>
          </m:sub>
        </m:sSub>
        <m:r>
          <m:t xml:space="preserve">≥</m:t>
        </m:r>
        <m:sSub>
          <m:e>
            <m:r>
              <m:t xml:space="preserve">T</m:t>
            </m:r>
          </m:e>
          <m:sub>
            <m:r>
              <m:rPr>
                <m:sty m:val="p"/>
              </m:rPr>
              <m:t xml:space="preserve">суш</m:t>
            </m:r>
          </m:sub>
        </m:sSub>
      </m:oMath>
      <w:r>
        <w:rPr>
          <w:sz w:val="24"/>
        </w:rPr>
        <w:t xml:space="preserve"> (предупреждение — порядок не гарантирован технологически); соотношение температуры синтеза и температуры кипения растворителя (предупреждение: сольвотермальный синтез в закрытом сосуде штатно превышает атмосферную температуру кипения под автогенным давлением; для смесей берётся минимальная температура кипения компонентов); стехиометрия загрузки — двухуровневая эмпирическая политика: выход </w:t>
      </w:r>
      <m:oMath>
        <m:r>
          <m:t xml:space="preserve">R</m:t>
        </m:r>
      </m:oMath>
      <w:r>
        <w:rPr>
          <w:sz w:val="24"/>
        </w:rPr>
        <w:t xml:space="preserve"> за физические границы [0.05; 10] считается ошибкой, выход за групповой медианный коридор (от медианы/4 до медианы·4 для систем с n ≥ 6) — предупреждением, что позволяет отлавливать грубые опечатки, не затрагивая намеренный разброс условий эксперимента; согласованность предрассчитанных молей с отношением </w:t>
      </w:r>
      <m:oMath>
        <m:f>
          <m:num>
            <m:r>
              <m:t xml:space="preserve">m</m:t>
            </m:r>
          </m:num>
          <m:den>
            <m:r>
              <m:t xml:space="preserve">M</m:t>
            </m:r>
          </m:den>
        </m:f>
      </m:oMath>
      <w:r>
        <w:rPr>
          <w:sz w:val="24"/>
        </w:rPr>
        <w:t xml:space="preserve"> (расхождение &gt; 2 % — предупреждение); внутренние соотношения СЭХ: </w:t>
      </w:r>
      <m:oMath>
        <m:sSub>
          <m:e>
            <m:r>
              <m:t xml:space="preserve">a</m:t>
            </m:r>
          </m:e>
          <m:sub>
            <m:r>
              <m:t xml:space="preserve">0</m:t>
            </m:r>
          </m:sub>
        </m:sSub>
        <m:r>
          <m:t xml:space="preserve">=28.86·</m:t>
        </m:r>
        <m:sSub>
          <m:e>
            <m:r>
              <m:t xml:space="preserve">W</m:t>
            </m:r>
          </m:e>
          <m:sub>
            <m:r>
              <m:t xml:space="preserve">0</m:t>
            </m:r>
          </m:sub>
        </m:sSub>
      </m:oMath>
      <w:r>
        <w:rPr>
          <w:sz w:val="24"/>
        </w:rPr>
        <w:t xml:space="preserve"> (ошибка при отклонении &gt; 1 %), </w:t>
      </w:r>
      <m:oMath>
        <m:f>
          <m:num>
            <m:r>
              <m:t xml:space="preserve">E</m:t>
            </m:r>
          </m:num>
          <m:den>
            <m:sSub>
              <m:e>
                <m:r>
                  <m:t xml:space="preserve">E</m:t>
                </m:r>
              </m:e>
              <m:sub>
                <m:r>
                  <m:t xml:space="preserve">0</m:t>
                </m:r>
              </m:sub>
            </m:sSub>
          </m:den>
        </m:f>
        <m:r>
          <m:t xml:space="preserve">≈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sz w:val="24"/>
        </w:rPr>
        <w:t xml:space="preserve"> (предупреждение), </w:t>
      </w:r>
      <m:oMath>
        <m:sSub>
          <m:e>
            <m:r>
              <m:t xml:space="preserve">W</m:t>
            </m:r>
          </m:e>
          <m:sub>
            <m:r>
              <m:t xml:space="preserve">s</m:t>
            </m:r>
          </m:sub>
        </m:sSub>
        <m:r>
          <m:t xml:space="preserve">≥</m:t>
        </m:r>
        <m:sSub>
          <m:e>
            <m:r>
              <m:t xml:space="preserve">W</m:t>
            </m:r>
          </m:e>
          <m:sub>
            <m:r>
              <m:t xml:space="preserve">0</m:t>
            </m:r>
          </m:sub>
        </m:sSub>
      </m:oMath>
      <w:r>
        <w:rPr>
          <w:sz w:val="24"/>
        </w:rPr>
        <w:t xml:space="preserve"> (ошибка). Текущая база проходит валидацию без ошибок; немногочисленные предупреждения соответствуют либо реальным выбросам (например, </w:t>
      </w:r>
      <m:oMath>
        <m:r>
          <m:t xml:space="preserve">R=0.132</m:t>
        </m:r>
      </m:oMath>
      <w:r>
        <w:rPr>
          <w:sz w:val="24"/>
        </w:rPr>
        <w:t xml:space="preserve"> для одного синтеза Al|BDC), либо ожидаемым особенностям сольвотермального синтеза.</w:t>
      </w:r>
    </w:p>
    <w:p>
      <w:pPr>
        <w:keepNext/>
        <w:spacing w:before="280" w:after="160"/>
        <w:jc w:val="center"/>
      </w:pPr>
      <w:r>
        <w:rPr>
          <w:b/>
          <w:i w:val="0"/>
          <w:sz w:val="24"/>
        </w:rPr>
        <w:t>MACHINE LEARNING PIPELINE</w:t>
      </w:r>
    </w:p>
    <w:p>
      <w:pPr>
        <w:keepNext/>
        <w:spacing w:before="200" w:after="80"/>
        <w:jc w:val="left"/>
      </w:pPr>
      <w:r>
        <w:rPr>
          <w:b/>
          <w:i w:val="0"/>
          <w:sz w:val="24"/>
        </w:rPr>
        <w:t>3.1. Постановка задачи и архитектура конвейера</w:t>
      </w:r>
    </w:p>
    <w:p>
      <w:pPr>
        <w:spacing w:before="0" w:after="0"/>
        <w:ind w:firstLine="709"/>
        <w:jc w:val="both"/>
      </w:pPr>
      <w:r>
        <w:rPr>
          <w:sz w:val="24"/>
        </w:rPr>
        <w:t xml:space="preserve">Пусть </w:t>
      </w:r>
      <m:oMath>
        <m:r>
          <m:t xml:space="preserve">x</m:t>
        </m:r>
      </m:oMath>
      <w:r>
        <w:rPr>
          <w:sz w:val="24"/>
        </w:rPr>
        <w:t xml:space="preserve"> — вектор условий синтеза (девять входов §2.2 и производные дескрипторы §2.4), </w:t>
      </w:r>
      <m:oMath>
        <m:r>
          <m:t xml:space="preserve">y=</m:t>
        </m:r>
        <m:d>
          <m:dPr>
            <m:begChr m:val="("/>
            <m:endChr m:val=")"/>
          </m:dPr>
          <m:e>
            <m:sSub>
              <m:e>
                <m:r>
                  <m:t xml:space="preserve">E</m:t>
                </m:r>
              </m:e>
              <m:sub>
                <m:r>
                  <m:t xml:space="preserve">0</m:t>
                </m:r>
              </m:sub>
            </m:sSub>
            <m:r>
              <m:t xml:space="preserve">, </m:t>
            </m:r>
            <m:sSub>
              <m:e>
                <m:r>
                  <m:t xml:space="preserve">x</m:t>
                </m:r>
              </m:e>
              <m:sub>
                <m:r>
                  <m:t xml:space="preserve">0</m:t>
                </m:r>
              </m:sub>
            </m:sSub>
            <m:r>
              <m:t xml:space="preserve">, </m:t>
            </m:r>
            <m:sSub>
              <m:e>
                <m:r>
                  <m:t xml:space="preserve">S</m:t>
                </m:r>
              </m:e>
              <m:sub>
                <m:r>
                  <m:rPr>
                    <m:sty m:val="p"/>
                  </m:rPr>
                  <m:t xml:space="preserve">me</m:t>
                </m:r>
              </m:sub>
            </m:sSub>
          </m:e>
        </m:d>
      </m:oMath>
      <w:r>
        <w:rPr>
          <w:sz w:val="24"/>
        </w:rPr>
        <w:t xml:space="preserve"> — вектор целевых СЭХ. Решаются две связанные задачи. Прямая задача: построить суррогатную модель </w:t>
      </w:r>
      <m:oMath>
        <m:acc>
          <m:accPr>
            <m:chr m:val="̂"/>
          </m:accPr>
          <m:e>
            <m:r>
              <m:t xml:space="preserve">y</m:t>
            </m:r>
          </m:e>
        </m:acc>
        <m:r>
          <m:t xml:space="preserve">=</m:t>
        </m:r>
        <m:acc>
          <m:accPr>
            <m:chr m:val="̂"/>
          </m:accPr>
          <m:e>
            <m:r>
              <m:t xml:space="preserve">f</m:t>
            </m:r>
          </m:e>
        </m:acc>
        <m:r>
          <m:t xml:space="preserve">(x)</m:t>
        </m:r>
      </m:oMath>
      <w:r>
        <w:rPr>
          <w:sz w:val="24"/>
        </w:rPr>
        <w:t xml:space="preserve"> с оценкой неопределённости предсказаний. Обратная задача: для заданного целевого профиля </w:t>
      </w:r>
      <m:oMath>
        <m:sSup>
          <m:e>
            <m:r>
              <m:t xml:space="preserve">y</m:t>
            </m:r>
          </m:e>
          <m:sup>
            <m:r>
              <m:t xml:space="preserve">*</m:t>
            </m:r>
          </m:sup>
        </m:sSup>
      </m:oMath>
      <w:r>
        <w:rPr>
          <w:sz w:val="24"/>
        </w:rPr>
        <w:t xml:space="preserve"> найти условия синтеза </w:t>
      </w:r>
      <m:oMath>
        <m:sSup>
          <m:e>
            <m:r>
              <m:t xml:space="preserve">x</m:t>
            </m:r>
          </m:e>
          <m:sup>
            <m:r>
              <m:t xml:space="preserve">*</m:t>
            </m:r>
          </m:sup>
        </m:sSup>
      </m:oMath>
      <w:r>
        <w:rPr>
          <w:sz w:val="24"/>
        </w:rPr>
        <w:t>, минимизирующие нормированное квадратичное отклонение</w:t>
      </w:r>
    </w:p>
    <w:p>
      <w:pPr>
        <w:spacing w:before="80" w:after="80"/>
        <w:jc w:val="center"/>
      </w:pPr>
      <m:oMathPara>
        <m:oMath>
          <m:r>
            <m:rPr>
              <m:sty m:val="p"/>
            </m:rPr>
            <m:t xml:space="preserve">score</m:t>
          </m:r>
          <m:r>
            <m:t xml:space="preserve">(x)=</m:t>
          </m:r>
          <m:nary>
            <m:naryPr>
              <m:chr m:val="∑"/>
              <m:limLoc m:val="undOvr"/>
              <m:supHide m:val="1"/>
            </m:naryPr>
            <m:sub>
              <m:r>
                <m:t xml:space="preserve">t</m:t>
              </m:r>
            </m:sub>
            <m:sup/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 xml:space="preserve">f</m:t>
                                  </m:r>
                                </m:e>
                              </m:acc>
                            </m:e>
                            <m:sub>
                              <m:r>
                                <m:t xml:space="preserve">t</m:t>
                              </m:r>
                            </m:sub>
                          </m:sSub>
                          <m:r>
                            <m:t xml:space="preserve">(x)−</m:t>
                          </m:r>
                          <m:sSubSup>
                            <m:e>
                              <m:r>
                                <m:t xml:space="preserve">y</m:t>
                              </m:r>
                            </m:e>
                            <m:sub>
                              <m:r>
                                <m:t xml:space="preserve">t</m:t>
                              </m:r>
                            </m:sub>
                            <m:sup>
                              <m:r>
                                <m:t xml:space="preserve">*</m:t>
                              </m:r>
                            </m:sup>
                          </m:sSubSup>
                        </m:num>
                        <m:den>
                          <m:sSub>
                            <m:e>
                              <m:r>
                                <m:t xml:space="preserve">s</m:t>
                              </m:r>
                            </m:e>
                            <m:sub>
                              <m:r>
                                <m:t xml:space="preserve">t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 xml:space="preserve">2</m:t>
                  </m:r>
                </m:sup>
              </m:sSup>
            </m:e>
          </m:nary>
          <m:r>
            <m:t xml:space="preserve">,   </m:t>
          </m:r>
          <m:sSub>
            <m:e>
              <m:r>
                <m:t xml:space="preserve">s</m:t>
              </m:r>
            </m:e>
            <m:sub>
              <m:r>
                <m:t xml:space="preserve">t</m:t>
              </m:r>
            </m:sub>
          </m:sSub>
          <m:r>
            <m:t xml:space="preserve">=</m:t>
          </m:r>
          <m:r>
            <m:rPr>
              <m:sty m:val="p"/>
            </m:rPr>
            <m:t xml:space="preserve">max</m:t>
          </m:r>
          <m:d>
            <m:dPr>
              <m:begChr m:val="("/>
              <m:endChr m:val=")"/>
            </m:dPr>
            <m:e>
              <m:d>
                <m:dPr>
                  <m:begChr m:val="|"/>
                  <m:endChr m:val="|"/>
                </m:dPr>
                <m:e>
                  <m:sSubSup>
                    <m:e>
                      <m:r>
                        <m:t xml:space="preserve">y</m:t>
                      </m:r>
                    </m:e>
                    <m:sub>
                      <m:r>
                        <m:t xml:space="preserve">t</m:t>
                      </m:r>
                    </m:sub>
                    <m:sup>
                      <m:r>
                        <m:t xml:space="preserve">*</m:t>
                      </m:r>
                    </m:sup>
                  </m:sSubSup>
                </m:e>
              </m:d>
              <m:r>
                <m:t xml:space="preserve">; 1</m:t>
              </m:r>
            </m:e>
          </m:d>
        </m:oMath>
      </m:oMathPara>
    </w:p>
    <w:p>
      <w:pPr>
        <w:spacing w:before="0" w:after="0"/>
        <w:jc w:val="both"/>
      </w:pPr>
      <w:r>
        <w:rPr>
          <w:sz w:val="24"/>
        </w:rPr>
        <w:t xml:space="preserve">где </w:t>
      </w:r>
      <m:oMath>
        <m:sSub>
          <m:e>
            <m:r>
              <m:t xml:space="preserve">s</m:t>
            </m:r>
          </m:e>
          <m:sub>
            <m:r>
              <m:t xml:space="preserve">t</m:t>
            </m:r>
          </m:sub>
        </m:sSub>
      </m:oMath>
      <w:r>
        <w:rPr>
          <w:sz w:val="24"/>
        </w:rPr>
        <w:t xml:space="preserve"> — масштаб нормировки таргета, при выполнении системы физико-химических ограничений </w:t>
      </w:r>
      <m:oMath>
        <m:r>
          <m:t xml:space="preserve">C</m:t>
        </m:r>
        <m:r>
          <m:t xml:space="preserve">(x)</m:t>
        </m:r>
      </m:oMath>
      <w:r>
        <w:rPr>
          <w:sz w:val="24"/>
        </w:rPr>
        <w:t xml:space="preserve"> (§3.7). Архитектура конвейера показана на рис. 1: обогащение дескрипторами и валидация данных, обучение прямой модели с конформной оценкой неопределённости, трёхуровневый протокол валидации и контур обратного дизайна.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445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4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b w:val="0"/>
          <w:i w:val="0"/>
          <w:sz w:val="22"/>
        </w:rPr>
        <w:t>Рисунок 1 — Общая схема сквозного конвейера: от датасета синтезов до диверсифицированного списка рекомендуемых рецептур</w:t>
      </w:r>
    </w:p>
    <w:p>
      <w:pPr>
        <w:keepNext/>
        <w:spacing w:before="200" w:after="80"/>
        <w:jc w:val="left"/>
      </w:pPr>
      <w:r>
        <w:rPr>
          <w:b/>
          <w:i w:val="0"/>
          <w:sz w:val="24"/>
        </w:rPr>
        <w:t>3.2. Прямая суррогатная модель</w:t>
      </w:r>
    </w:p>
    <w:p>
      <w:pPr>
        <w:spacing w:before="0" w:after="0"/>
        <w:ind w:firstLine="709"/>
        <w:jc w:val="both"/>
      </w:pPr>
      <w:r>
        <w:rPr>
          <w:sz w:val="24"/>
        </w:rPr>
        <w:t xml:space="preserve">В качестве прямой модели используется градиентный бустинг CatBoost [44] — отдельный регрессор на каждый таргет с нативной обработкой категориальных признаков (металл, лиганд, растворитель, комбинация «металл–лиганд»). Гиперпараметры подобраны автоматической оптимизацией Optuna [45] (80 испытаний на таргет; табл. 2); функция потерь — RMSE, в кросс-валидации применяется ранняя остановка (100 раундов). Производственная модель — ансамбль из пяти членов (deep ensemble) с разными случайными сидами; итоговое предсказание — среднее по ансамблю. Образцы с нарушениями физико-химических соотношений (отклонение </w:t>
      </w:r>
      <m:oMath>
        <m:f>
          <m:num>
            <m:r>
              <m:t xml:space="preserve">E</m:t>
            </m:r>
          </m:num>
          <m:den>
            <m:sSub>
              <m:e>
                <m:r>
                  <m:t xml:space="preserve">E</m:t>
                </m:r>
              </m:e>
              <m:sub>
                <m:r>
                  <m:t xml:space="preserve">0</m:t>
                </m:r>
              </m:sub>
            </m:sSub>
          </m:den>
        </m:f>
      </m:oMath>
      <w:r>
        <w:rPr>
          <w:sz w:val="24"/>
        </w:rPr>
        <w:t xml:space="preserve"> от 1/3 сверх допуска 0.05, выход </w:t>
      </w:r>
      <m:oMath>
        <m:sSub>
          <m:e>
            <m:r>
              <m:t xml:space="preserve">E</m:t>
            </m:r>
          </m:e>
          <m:sub>
            <m:r>
              <m:t xml:space="preserve">0</m:t>
            </m:r>
          </m:sub>
        </m:sSub>
      </m:oMath>
      <w:r>
        <w:rPr>
          <w:sz w:val="24"/>
        </w:rPr>
        <w:t xml:space="preserve"> за физические границы [5; 65] кДж/моль, нарушение иерархии объёмов </w:t>
      </w:r>
      <m:oMath>
        <m:sSub>
          <m:e>
            <m:r>
              <m:t xml:space="preserve">W</m:t>
            </m:r>
          </m:e>
          <m:sub>
            <m:r>
              <m:t xml:space="preserve">s</m:t>
            </m:r>
          </m:sub>
        </m:sSub>
        <m:r>
          <m:t xml:space="preserve">≥</m:t>
        </m:r>
        <m:sSub>
          <m:e>
            <m:r>
              <m:t xml:space="preserve">W</m:t>
            </m:r>
          </m:e>
          <m:sub>
            <m:r>
              <m:t xml:space="preserve">0</m:t>
            </m:r>
          </m:sub>
        </m:sSub>
      </m:oMath>
      <w:r>
        <w:rPr>
          <w:sz w:val="24"/>
        </w:rPr>
        <w:t xml:space="preserve">) не исключаются, а понижаются в весе: </w:t>
      </w:r>
      <m:oMath>
        <m:sSub>
          <m:e>
            <m:r>
              <m:t xml:space="preserve">w</m:t>
            </m:r>
          </m:e>
          <m:sub>
            <m:r>
              <m:t xml:space="preserve">i</m:t>
            </m:r>
          </m:sub>
        </m:sSub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1+</m:t>
            </m:r>
            <m:sSub>
              <m:e>
                <m:r>
                  <m:t xml:space="preserve">p</m:t>
                </m:r>
              </m:e>
              <m:sub>
                <m:r>
                  <m:t xml:space="preserve">i</m:t>
                </m:r>
              </m:sub>
            </m:sSub>
          </m:den>
        </m:f>
      </m:oMath>
      <w:r>
        <w:rPr>
          <w:sz w:val="24"/>
        </w:rPr>
        <w:t xml:space="preserve">, где </w:t>
      </w:r>
      <m:oMath>
        <m:sSub>
          <m:e>
            <m:r>
              <m:t xml:space="preserve">p</m:t>
            </m:r>
          </m:e>
          <m:sub>
            <m:r>
              <m:t xml:space="preserve">i</m:t>
            </m:r>
          </m:sub>
        </m:sSub>
      </m:oMath>
      <w:r>
        <w:rPr>
          <w:sz w:val="24"/>
        </w:rPr>
        <w:t xml:space="preserve"> — суммарный штраф образца, с нижней границей 0.2.</w:t>
      </w:r>
    </w:p>
    <w:p>
      <w:pPr>
        <w:spacing w:before="200" w:after="80" w:line="240" w:lineRule="auto"/>
        <w:jc w:val="left"/>
      </w:pPr>
      <w:r>
        <w:rPr>
          <w:b w:val="0"/>
          <w:i w:val="0"/>
          <w:sz w:val="22"/>
        </w:rPr>
        <w:t>Таблица 2 — Гиперпараметры CatBoost, подобранные Optuna (80 испытаний на таргет)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474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Таргет</w:t>
            </w:r>
          </w:p>
        </w:tc>
        <w:tc>
          <w:tcPr>
            <w:tcW w:type="dxa" w:w="1077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iterations</w:t>
            </w:r>
          </w:p>
        </w:tc>
        <w:tc>
          <w:tcPr>
            <w:tcW w:type="dxa" w:w="1134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learning rate</w:t>
            </w:r>
          </w:p>
        </w:tc>
        <w:tc>
          <w:tcPr>
            <w:tcW w:type="dxa" w:w="794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depth</w:t>
            </w:r>
          </w:p>
        </w:tc>
        <w:tc>
          <w:tcPr>
            <w:tcW w:type="dxa" w:w="1077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l2 leaf reg</w:t>
            </w:r>
          </w:p>
        </w:tc>
        <w:tc>
          <w:tcPr>
            <w:tcW w:type="dxa" w:w="1361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min data in leaf</w:t>
            </w:r>
          </w:p>
        </w:tc>
        <w:tc>
          <w:tcPr>
            <w:tcW w:type="dxa" w:w="1077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subsample</w:t>
            </w:r>
          </w:p>
        </w:tc>
        <w:tc>
          <w:tcPr>
            <w:tcW w:type="dxa" w:w="1077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colsample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20" w:before="20"/>
              <w:jc w:val="left"/>
            </w:pPr>
            <w:r/>
            <w:r>
              <w:rPr>
                <w:sz w:val="20"/>
              </w:rPr>
              <w:t>E₀, кДж/моль</w:t>
            </w:r>
          </w:p>
        </w:tc>
        <w:tc>
          <w:tcPr>
            <w:tcW w:type="dxa" w:w="107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1700</w:t>
            </w:r>
          </w:p>
        </w:tc>
        <w:tc>
          <w:tcPr>
            <w:tcW w:type="dxa" w:w="113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0.0336</w:t>
            </w:r>
          </w:p>
        </w:tc>
        <w:tc>
          <w:tcPr>
            <w:tcW w:type="dxa" w:w="79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107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2.20</w:t>
            </w:r>
          </w:p>
        </w:tc>
        <w:tc>
          <w:tcPr>
            <w:tcW w:type="dxa" w:w="1361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107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0.921</w:t>
            </w:r>
          </w:p>
        </w:tc>
        <w:tc>
          <w:tcPr>
            <w:tcW w:type="dxa" w:w="107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0.530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20" w:before="20"/>
              <w:jc w:val="left"/>
            </w:pPr>
            <w:r/>
            <w:r>
              <w:rPr>
                <w:sz w:val="20"/>
              </w:rPr>
              <w:t>x₀, нм</w:t>
            </w:r>
          </w:p>
        </w:tc>
        <w:tc>
          <w:tcPr>
            <w:tcW w:type="dxa" w:w="107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1600</w:t>
            </w:r>
          </w:p>
        </w:tc>
        <w:tc>
          <w:tcPr>
            <w:tcW w:type="dxa" w:w="113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0.0638</w:t>
            </w:r>
          </w:p>
        </w:tc>
        <w:tc>
          <w:tcPr>
            <w:tcW w:type="dxa" w:w="79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107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1.846</w:t>
            </w:r>
          </w:p>
        </w:tc>
        <w:tc>
          <w:tcPr>
            <w:tcW w:type="dxa" w:w="1361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107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0.950</w:t>
            </w:r>
          </w:p>
        </w:tc>
        <w:tc>
          <w:tcPr>
            <w:tcW w:type="dxa" w:w="107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0.502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20" w:before="20"/>
              <w:jc w:val="left"/>
            </w:pPr>
            <w:r/>
            <w:r>
              <w:rPr>
                <w:sz w:val="20"/>
              </w:rPr>
              <w:t>Sme, м²/г</w:t>
            </w:r>
          </w:p>
        </w:tc>
        <w:tc>
          <w:tcPr>
            <w:tcW w:type="dxa" w:w="107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2000</w:t>
            </w:r>
          </w:p>
        </w:tc>
        <w:tc>
          <w:tcPr>
            <w:tcW w:type="dxa" w:w="113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0.0469</w:t>
            </w:r>
          </w:p>
        </w:tc>
        <w:tc>
          <w:tcPr>
            <w:tcW w:type="dxa" w:w="79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107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0.108</w:t>
            </w:r>
          </w:p>
        </w:tc>
        <w:tc>
          <w:tcPr>
            <w:tcW w:type="dxa" w:w="1361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107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0.926</w:t>
            </w:r>
          </w:p>
        </w:tc>
        <w:tc>
          <w:tcPr>
            <w:tcW w:type="dxa" w:w="107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0.623</w:t>
            </w:r>
          </w:p>
        </w:tc>
      </w:tr>
    </w:tbl>
    <w:p>
      <w:pPr>
        <w:spacing w:before="0" w:after="120" w:line="240" w:lineRule="auto"/>
        <w:jc w:val="both"/>
      </w:pPr>
      <w:r>
        <w:rPr>
          <w:b w:val="0"/>
          <w:i w:val="0"/>
          <w:sz w:val="24"/>
        </w:rPr>
      </w:r>
    </w:p>
    <w:p>
      <w:pPr>
        <w:keepNext/>
        <w:spacing w:before="200" w:after="80"/>
        <w:jc w:val="left"/>
      </w:pPr>
      <w:r>
        <w:rPr>
          <w:b/>
          <w:i w:val="0"/>
          <w:sz w:val="24"/>
        </w:rPr>
        <w:t>3.3. Контроль утечек данных и отбор признаков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Наличие 38 повторных рецептур делает наивную кросс-валидацию некорректной: повторные измерения одного синтеза, попадая одновременно в обучающую и проверочную части, завышают качество. Поэтому используется групповая стратифицированная кросс-валидация StratifiedGroupKFold с пятью фолдами [46], где группа — детерминированный ключ рецептуры, построенный из девяти синтез-входов: все повторы одной рецептуры всегда оказываются в одном фолде (342 группы, нулевое пересечение между фолдами). Стратификация выполняется по металлу и квартилям таргета.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Отбор признаков выполняется строго внутри каждого внешнего фолда (исключая утечку информации о проверочной части): доменная курация (списки обязательных и исключаемых признаков) → удаление коллинеарных пар (|r| &gt; 0.85) → итеративное удаление признаков с фактором инфляции дисперсии VIF &gt; 10 → ранжирование перестановочной важностью (RandomForest, 10 повторов) и отбор топ-15 с сохранением обязательных. Для устранения нестабильности отбора на малых данных применяется stability selection [47]: процедура отбора повторяется на 10 бутстрэп-подвыборках обучающей части фолда (80 % строк), и сохраняются признаки, выбранные не менее чем в половине повторов; категориальные признаки сохраняются всегда.</w:t>
      </w:r>
    </w:p>
    <w:p>
      <w:pPr>
        <w:keepNext/>
        <w:spacing w:before="200" w:after="80"/>
        <w:jc w:val="left"/>
      </w:pPr>
      <w:r>
        <w:rPr>
          <w:b/>
          <w:i w:val="0"/>
          <w:sz w:val="24"/>
        </w:rPr>
        <w:t>3.4. Конформная оценка неопределённости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Интервалы предсказаний строятся методами конформного предсказания [48], дающими гарантии покрытия без распределительных предположений. Используется кросс-конформный регрессор библиотеки MAPIE [50] с методом CV+ (jackknife+ на фолдах [49]) при α = 0.1 (целевое покрытие 90 %). Принципиально, что конформная процедура использует тот же групповой CV-контур, что и оценка качества (§3.3): повторные рецептуры не разносятся между обучением и калибровкой. Калибровка интервалов контролируется двумя показателями: разрывом покрытия (доля попаданий фактических значений в интервал минус целевые 90 %) и нормированной шириной интервала (средняя ширина в единицах σ таргета).</w:t>
      </w:r>
    </w:p>
    <w:p>
      <w:pPr>
        <w:keepNext/>
        <w:spacing w:before="200" w:after="80"/>
        <w:jc w:val="left"/>
      </w:pPr>
      <w:r>
        <w:rPr>
          <w:b/>
          <w:i w:val="0"/>
          <w:sz w:val="24"/>
        </w:rPr>
        <w:t>3.5. Альтернативная модель: TabPFN-3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В качестве претендента рассмотрен TabPFN-3 [52] — предобученный табличный foundation-трансформер, выполняющий предсказание в режиме in-context inference без градиентного дообучения. Модель получает числовую матрицу признаков (категориальные признаки исключаются, булевы приводятся к числовым, константные столбцы удаляются) и оценивается на том же групповом CV-контуре, что и CatBoost. Ограничение TabPFN-3 — отсутствие штатных интервалов предсказаний, что критично для контура обратного дизайна.</w:t>
      </w:r>
    </w:p>
    <w:p>
      <w:pPr>
        <w:keepNext/>
        <w:spacing w:before="200" w:after="80"/>
        <w:jc w:val="left"/>
      </w:pPr>
      <w:r>
        <w:rPr>
          <w:b/>
          <w:i w:val="0"/>
          <w:sz w:val="24"/>
        </w:rPr>
        <w:t>3.6. Протокол валидации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Качество прямой модели оценивается на трёх уровнях строгости. (i) Внутренний уровень: out-of-fold (OOF) метрики групповой кросс-валидации §3.3 — отвечают на вопрос о качестве интерполяции в пределах представленных в данных химических систем. (ii) Внешний химический холдаут: детерминированное отложение ~20 % строк целыми системами «металл–лиганд» (модель обучается на одних химиях, проверяется на других; все справочные таблицы строятся только по обучающей части). (iii) Leave-one-group-out (LOGO): каждая из 17 систем «металл–лиганд» поочерёдно выводится в холдаут, модель обучается на остальных; агрегируются объединённые (pooled) и погрупповые метрики. Нулевой моделью служит y-рандомизация [51]: обучение на перемешанном таргете при том же контуре валидации. Уровень (iii) напрямую измеряет переносимость модели на незнакомую химию.</w:t>
      </w:r>
    </w:p>
    <w:p>
      <w:pPr>
        <w:keepNext/>
        <w:spacing w:before="200" w:after="80"/>
        <w:jc w:val="left"/>
      </w:pPr>
      <w:r>
        <w:rPr>
          <w:b/>
          <w:i w:val="0"/>
          <w:sz w:val="24"/>
        </w:rPr>
        <w:t>3.7. Обратный дизайн: целевая байесовская оптимизация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Контур обратного дизайна реализован на основе фреймворка BoFire [53] (байесовская оптимизация на BoTorch [54]). Пространство поиска повторяет домен данных: категориальные входы — металл (7 уровней), лиганд (4), растворитель (8); непрерывные — массы соли и кислоты, объём растворителя в наблюдаемых границах; температуры трёх стадий — дискретные наблюдаемые уровни. Для каждого таргета задаётся цель CloseToTargetObjective (квадратичная мера близости к y*_t), многокритериальная задача решается стратегией qParEGO [55] со случайными скаляризациями и функцией приобретения qLogNEI [56]. Стратегия инициализируется небольшим набором (до четырёх) диверсифицированных реальных экспериментов из допустимого пула.</w:t>
      </w:r>
    </w:p>
    <w:p>
      <w:pPr>
        <w:spacing w:before="0" w:after="0"/>
        <w:ind w:firstLine="709"/>
        <w:jc w:val="both"/>
      </w:pPr>
      <w:r>
        <w:rPr>
          <w:sz w:val="24"/>
        </w:rPr>
        <w:t xml:space="preserve">Цикл ask/tell устроен следующим образом. Стратегия предлагает кандидата; если он нарушает ограничения, выполняется проекция — замена на ближайшую (по нормированному L1-расстоянию в непрерывных входах) допустимую реальную рецептуру с приоритетом совпадения металла, лиганда и растворителя. Кандидат оценивается ансамблем прямой модели с конформными интервалами, и «фантазийное» наблюдение (предсказание ансамбля) возвращается стратегии. Система ограничений: </w:t>
      </w:r>
      <m:oMath>
        <m:sSub>
          <m:e>
            <m:r>
              <m:t xml:space="preserve">T</m:t>
            </m:r>
          </m:e>
          <m:sub>
            <m:r>
              <m:rPr>
                <m:sty m:val="p"/>
              </m:rPr>
              <m:t xml:space="preserve">суш</m:t>
            </m:r>
          </m:sub>
        </m:sSub>
        <m:r>
          <m:t xml:space="preserve">≤</m:t>
        </m:r>
        <m:sSub>
          <m:e>
            <m:r>
              <m:t xml:space="preserve">T</m:t>
            </m:r>
          </m:e>
          <m:sub>
            <m:r>
              <m:rPr>
                <m:sty m:val="p"/>
              </m:rPr>
              <m:t xml:space="preserve">син</m:t>
            </m:r>
          </m:sub>
        </m:sSub>
        <m:r>
          <m:t xml:space="preserve">+20</m:t>
        </m:r>
      </m:oMath>
      <w:r>
        <w:rPr>
          <w:sz w:val="24"/>
        </w:rPr>
        <w:t xml:space="preserve"> °C; </w:t>
      </w:r>
      <m:oMath>
        <m:sSub>
          <m:e>
            <m:r>
              <m:t xml:space="preserve">T</m:t>
            </m:r>
          </m:e>
          <m:sub>
            <m:r>
              <m:rPr>
                <m:sty m:val="p"/>
              </m:rPr>
              <m:t xml:space="preserve">суш</m:t>
            </m:r>
          </m:sub>
        </m:sSub>
        <m:r>
          <m:t xml:space="preserve">≤</m:t>
        </m:r>
        <m:sSub>
          <m:e>
            <m:r>
              <m:t xml:space="preserve">T</m:t>
            </m:r>
          </m:e>
          <m:sub>
            <m:r>
              <m:rPr>
                <m:sty m:val="p"/>
              </m:rPr>
              <m:t xml:space="preserve">рег</m:t>
            </m:r>
          </m:sub>
        </m:sSub>
      </m:oMath>
      <w:r>
        <w:rPr>
          <w:sz w:val="24"/>
        </w:rPr>
        <w:t xml:space="preserve">; </w:t>
      </w:r>
      <m:oMath>
        <m:sSub>
          <m:e>
            <m:r>
              <m:t xml:space="preserve">T</m:t>
            </m:r>
          </m:e>
          <m:sub>
            <m:r>
              <m:rPr>
                <m:sty m:val="p"/>
              </m:rPr>
              <m:t xml:space="preserve">син</m:t>
            </m:r>
          </m:sub>
        </m:sSub>
        <m:r>
          <m:t xml:space="preserve">≤</m:t>
        </m:r>
        <m:sSub>
          <m:e>
            <m:r>
              <m:t xml:space="preserve">T</m:t>
            </m:r>
          </m:e>
          <m:sub>
            <m:r>
              <m:rPr>
                <m:sty m:val="p"/>
              </m:rPr>
              <m:t xml:space="preserve">кип</m:t>
            </m:r>
          </m:sub>
        </m:sSub>
      </m:oMath>
      <w:r>
        <w:rPr>
          <w:sz w:val="24"/>
        </w:rPr>
        <w:t xml:space="preserve"> (температура кипения растворителя); мольное отношение </w:t>
      </w:r>
      <m:oMath>
        <m:f>
          <m:num>
            <m:r>
              <m:t xml:space="preserve">n</m:t>
            </m:r>
            <m:r>
              <m:rPr>
                <m:sty m:val="p"/>
              </m:rPr>
              <m:t xml:space="preserve">(соли)</m:t>
            </m:r>
          </m:num>
          <m:den>
            <m:r>
              <m:t xml:space="preserve">n</m:t>
            </m:r>
            <m:r>
              <m:rPr>
                <m:sty m:val="p"/>
              </m:rPr>
              <m:t xml:space="preserve">(кислоты)</m:t>
            </m:r>
          </m:den>
        </m:f>
      </m:oMath>
      <w:r>
        <w:rPr>
          <w:sz w:val="24"/>
        </w:rPr>
        <w:t xml:space="preserve"> в границах химической системы (для каркасов с известной формульной стехиометрией — HKUST-1, MOF-5, UiO-66 и др. — допуск ±10–15 %, иначе эмпирические границы [0.45; 2.3]); предсказанное </w:t>
      </w:r>
      <m:oMath>
        <m:sSub>
          <m:e>
            <m:r>
              <m:t xml:space="preserve">E</m:t>
            </m:r>
          </m:e>
          <m:sub>
            <m:r>
              <m:t xml:space="preserve">0</m:t>
            </m:r>
          </m:sub>
        </m:sSub>
        <m:r>
          <m:t xml:space="preserve">∈</m:t>
        </m:r>
        <m:d>
          <m:dPr>
            <m:begChr m:val="["/>
            <m:endChr m:val="]"/>
          </m:dPr>
          <m:e>
            <m:r>
              <m:t xml:space="preserve">5; 65</m:t>
            </m:r>
          </m:e>
        </m:d>
      </m:oMath>
      <w:r>
        <w:rPr>
          <w:sz w:val="24"/>
        </w:rPr>
        <w:t xml:space="preserve"> кДж/моль (правило Дубинина для физической адсорбции). Кандидаты ранжируются по </w:t>
      </w:r>
      <m:oMath>
        <m:r>
          <m:rPr>
            <m:sty m:val="p"/>
          </m:rPr>
          <m:t xml:space="preserve">score</m:t>
        </m:r>
        <m:r>
          <m:t xml:space="preserve">(x)</m:t>
        </m:r>
      </m:oMath>
      <w:r>
        <w:rPr>
          <w:sz w:val="24"/>
        </w:rPr>
        <w:t xml:space="preserve"> (§3.1), при равенстве — по суммарной ширине интервалов предсказаний (предпочтение менее неопределённым). Финальный список диверсифицируется: не более четырёх кандидатов на одну химию «металл|лиганд|растворитель», не более трёх на один температурный профиль, минимальное нормированное расстояние 0.03 между кандидатами одной химии. Выход — ранжированный список рецептур с предсказаниями, интервалами, флагом допустимости и причинами нарушений.</w:t>
      </w:r>
    </w:p>
    <w:p>
      <w:pPr>
        <w:keepNext/>
        <w:spacing w:before="200" w:after="80"/>
        <w:jc w:val="left"/>
      </w:pPr>
      <w:r>
        <w:rPr>
          <w:b/>
          <w:i w:val="0"/>
          <w:sz w:val="24"/>
        </w:rPr>
        <w:t>3.8. Воспроизводимость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Все случайные процедуры используют фиксированный сид (42); разбиения, отбор признаков и метрики сериализуются вместе с моделями (модели и конформные калибраторы — joblib/cbm, метрики и конфигурация — JSON, данные и предсказания — CSV). Конвейер реализован на Python (CatBoost, MAPIE, BoFire, scikit-learn); тяжёлые вычисления (LOGO-CV, TabPFN-3) выполнялись на сервере с GPU NVIDIA A100.</w:t>
      </w:r>
    </w:p>
    <w:p>
      <w:pPr>
        <w:keepNext/>
        <w:spacing w:before="280" w:after="160"/>
        <w:jc w:val="center"/>
      </w:pPr>
      <w:r>
        <w:rPr>
          <w:b/>
          <w:i w:val="0"/>
          <w:sz w:val="24"/>
        </w:rPr>
        <w:t>RESULTS AND DISCUSSION</w:t>
      </w:r>
    </w:p>
    <w:p>
      <w:pPr>
        <w:keepNext/>
        <w:spacing w:before="200" w:after="80"/>
        <w:jc w:val="left"/>
      </w:pPr>
      <w:r>
        <w:rPr>
          <w:b/>
          <w:i w:val="0"/>
          <w:sz w:val="24"/>
        </w:rPr>
        <w:t>4.1. Качество прямой модели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Метрики групповой кросс-валидации приведены в табл. 3, диаграммы рассеяния — на рис. 3. Модель объясняет 0.81 дисперсии E₀, 0.81 — x₀ и 0.75 — Sme; RMSE составляет 4.74 кДж/моль, 0.097 нм и 92.5 м²/г соответственно. Существенно, что эти оценки получены при честном групповом контуре: переход от наивной CV к групповой по рецептурам снизил оценку R² для Sme с 0.77 до 0.67 (утечка повторных измерений завышала именно зашумлённый таргет), а стабилизация отбора признаков (§3.3) вернула R²(Sme) к 0.75 уже без утечки; оценки для E₀ и x₀ к обоим факторам нечувствительны (изменения в пределах 0.01). Диаграммы рассеяния показывают ожидаемую для малых данных недооценку верхнего хвоста Sme (образцы с развитой мезопористостью &gt; 700 м²/г редки).</w:t>
      </w:r>
    </w:p>
    <w:p>
      <w:pPr>
        <w:spacing w:before="200" w:after="80" w:line="240" w:lineRule="auto"/>
        <w:jc w:val="left"/>
      </w:pPr>
      <w:r>
        <w:rPr>
          <w:b w:val="0"/>
          <w:i w:val="0"/>
          <w:sz w:val="22"/>
        </w:rPr>
        <w:t>Таблица 3 — Качество прямой модели CatBoost на групповой кросс-валидации (OOF) и калибровка конформных интервалов (целевое покрытие 90 %)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701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Таргет</w:t>
            </w:r>
          </w:p>
        </w:tc>
        <w:tc>
          <w:tcPr>
            <w:tcW w:type="dxa" w:w="1134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R² (OOF)</w:t>
            </w:r>
          </w:p>
        </w:tc>
        <w:tc>
          <w:tcPr>
            <w:tcW w:type="dxa" w:w="1134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RMSE</w:t>
            </w:r>
          </w:p>
        </w:tc>
        <w:tc>
          <w:tcPr>
            <w:tcW w:type="dxa" w:w="1134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MAE</w:t>
            </w:r>
          </w:p>
        </w:tc>
        <w:tc>
          <w:tcPr>
            <w:tcW w:type="dxa" w:w="1928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Покрытие интервалов</w:t>
            </w:r>
          </w:p>
        </w:tc>
        <w:tc>
          <w:tcPr>
            <w:tcW w:type="dxa" w:w="1247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Ширина, ×σ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sz w:val="20"/>
              </w:rPr>
              <w:t>E₀, кДж/моль</w:t>
            </w:r>
          </w:p>
        </w:tc>
        <w:tc>
          <w:tcPr>
            <w:tcW w:type="dxa" w:w="113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0.81</w:t>
            </w:r>
          </w:p>
        </w:tc>
        <w:tc>
          <w:tcPr>
            <w:tcW w:type="dxa" w:w="113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4.74</w:t>
            </w:r>
          </w:p>
        </w:tc>
        <w:tc>
          <w:tcPr>
            <w:tcW w:type="dxa" w:w="113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2.92</w:t>
            </w:r>
          </w:p>
        </w:tc>
        <w:tc>
          <w:tcPr>
            <w:tcW w:type="dxa" w:w="192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99.5 %</w:t>
            </w:r>
          </w:p>
        </w:tc>
        <w:tc>
          <w:tcPr>
            <w:tcW w:type="dxa" w:w="124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1.34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sz w:val="20"/>
              </w:rPr>
              <w:t>x₀, нм</w:t>
            </w:r>
          </w:p>
        </w:tc>
        <w:tc>
          <w:tcPr>
            <w:tcW w:type="dxa" w:w="113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0.81</w:t>
            </w:r>
          </w:p>
        </w:tc>
        <w:tc>
          <w:tcPr>
            <w:tcW w:type="dxa" w:w="113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0.097</w:t>
            </w:r>
          </w:p>
        </w:tc>
        <w:tc>
          <w:tcPr>
            <w:tcW w:type="dxa" w:w="113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0.059</w:t>
            </w:r>
          </w:p>
        </w:tc>
        <w:tc>
          <w:tcPr>
            <w:tcW w:type="dxa" w:w="192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98.7 %</w:t>
            </w:r>
          </w:p>
        </w:tc>
        <w:tc>
          <w:tcPr>
            <w:tcW w:type="dxa" w:w="124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1.35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sz w:val="20"/>
              </w:rPr>
              <w:t>Sme, м²/г</w:t>
            </w:r>
          </w:p>
        </w:tc>
        <w:tc>
          <w:tcPr>
            <w:tcW w:type="dxa" w:w="113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0.75</w:t>
            </w:r>
          </w:p>
        </w:tc>
        <w:tc>
          <w:tcPr>
            <w:tcW w:type="dxa" w:w="113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92.51</w:t>
            </w:r>
          </w:p>
        </w:tc>
        <w:tc>
          <w:tcPr>
            <w:tcW w:type="dxa" w:w="113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50.69</w:t>
            </w:r>
          </w:p>
        </w:tc>
        <w:tc>
          <w:tcPr>
            <w:tcW w:type="dxa" w:w="192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98.9 %</w:t>
            </w:r>
          </w:p>
        </w:tc>
        <w:tc>
          <w:tcPr>
            <w:tcW w:type="dxa" w:w="124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1.65</w:t>
            </w:r>
          </w:p>
        </w:tc>
      </w:tr>
    </w:tbl>
    <w:p>
      <w:pPr>
        <w:spacing w:before="0" w:after="120" w:line="240" w:lineRule="auto"/>
        <w:jc w:val="both"/>
      </w:pPr>
      <w:r>
        <w:rPr>
          <w:b w:val="0"/>
          <w:i w:val="0"/>
          <w:sz w:val="24"/>
        </w:rPr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569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ar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56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b w:val="0"/>
          <w:i w:val="0"/>
          <w:sz w:val="22"/>
        </w:rPr>
        <w:t>Рисунок 3 — Диаграммы рассеяния «эксперимент–предсказание» (out-of-fold) для трёх таргетов; серые отрезки — 90-процентные конформные интервалы MAPIE (CV+)</w:t>
      </w:r>
    </w:p>
    <w:p>
      <w:pPr>
        <w:keepNext/>
        <w:spacing w:before="200" w:after="80"/>
        <w:jc w:val="left"/>
      </w:pPr>
      <w:r>
        <w:rPr>
          <w:b/>
          <w:i w:val="0"/>
          <w:sz w:val="24"/>
        </w:rPr>
        <w:t>4.2. Калибровка неопределённости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Эмпирическое покрытие 90-процентных интервалов составляет 99.5 % (E₀), 98.7 % (x₀) и 98.9 % (Sme) — метод CV+ на выборке такого объёма консервативен: средняя ширина интервала равна 1.34σ, 1.35σ и 1.65σ соответственно (рис. 4а, б). Интервалы при этом информативны: они корректно ранжируют предсказания по фактической ошибке. Если принимать только 50 % предсказаний с самыми узкими интервалами, RMSE снижается до 0.31 (E₀), 0.41 (x₀) и 0.47 (Sme) от полного значения — для E₀ это уменьшение ошибки с 4.74 до 1.49 кДж/моль (рис. 4в). В контуре обратного дизайна это используется для приоритизации надёжных кандидатов (§3.7), а в перспективе — для отбора экспериментов на дообучение модели (активное обучение).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781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u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78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b w:val="0"/>
          <w:i w:val="0"/>
          <w:sz w:val="22"/>
        </w:rPr>
        <w:t>Рисунок 4 — Калибровка конформных интервалов: (а) эмпирическое покрытие при целевом уровне 90 %; (б) средняя ширина интервала в единицах σ таргета; (в) кривые отбраковки — относительное RMSE при приёме доли предсказаний с самыми узкими интервалами</w:t>
      </w:r>
    </w:p>
    <w:p>
      <w:pPr>
        <w:keepNext/>
        <w:spacing w:before="200" w:after="80"/>
        <w:jc w:val="left"/>
      </w:pPr>
      <w:r>
        <w:rPr>
          <w:b/>
          <w:i w:val="0"/>
          <w:sz w:val="24"/>
        </w:rPr>
        <w:t>4.3. Важность признаков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Усреднённые по ансамблю важности признаков (рис. 5) физически интерпретируемы. Для E₀ доминируют температура регенерации, электронные свойства металла (сродство к электрону, индикатор активности эффекта Яна–Теллера, выделяющий Cu²⁺) и ионный радиус: энергетика микропор определяется природой металлоцентра и термической историей образца. Для x₀ наибольший вклад дают отношение скрытой кристаллогидратной воды к металлу, ионный радиус и загрузочное мольное отношение R — геометрия микропор управляется составом координационной сферы и стехиометрией. Для Sme основной фактор — объём растворителя (разбавление синтеза), за ним следуют ионный радиус и количество скрытой воды: мезопористость и межкристаллитная поверхность чувствительны к концентрационному режиму кристаллизации. Подчеркнём, что важности описывают поведение модели в пределах наблюдаемых химических систем и не являются причинно-следственными утверждениями.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573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7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b w:val="0"/>
          <w:i w:val="0"/>
          <w:sz w:val="22"/>
        </w:rPr>
        <w:t>Рисунок 5 — Топ-10 признаков прямой модели по важности CatBoost, усреднённой по пяти членам ансамбля (отрезки — стандартное отклонение между членами)</w:t>
      </w:r>
    </w:p>
    <w:p>
      <w:pPr>
        <w:keepNext/>
        <w:spacing w:before="200" w:after="80"/>
        <w:jc w:val="left"/>
      </w:pPr>
      <w:r>
        <w:rPr>
          <w:b/>
          <w:i w:val="0"/>
          <w:sz w:val="24"/>
        </w:rPr>
        <w:t>4.4. Сравнение с табличным foundation-трансформером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TabPFN-3 на том же групповом CV-контуре достигает R² = 0.81 (E₀), 0.80 (x₀) и 0.74 (Sme) — паритет с CatBoost (рис. 6, табл. 4). Примечательна версионная чувствительность: предыдущее поколение весов той же архитектуры (TabPFN v2) на этих данных давало резко отрицательные OOF R² (от −0.9 до −3.5), т.е. скачок качества обеспечен именно новым поколением предобученной модели. Тем не менее производственным выбором остаётся CatBoost: он даёт нативную обработку категориальных признаков, штатные конформные интервалы (у TabPFN-3 интервальная оценка отсутствует) и не требует GPU на этапе предсказания. Важно, что на внешнем химическом холдауте (уровень (ii) §3.6; 83 строки, отложенные целыми системами «металл–лиганд») обе модели показывают отрицательные R² (CatBoost: −1.9 (E₀), −2.9 (x₀), −1.0 (Sme); TabPFN-3: −2.9, −3.6, −0.9) — паритет на внутреннем CV не транслируется в переносимость на новую химию.</w:t>
      </w:r>
    </w:p>
    <w:p>
      <w:pPr>
        <w:spacing w:before="200" w:after="80" w:line="240" w:lineRule="auto"/>
        <w:jc w:val="left"/>
      </w:pPr>
      <w:r>
        <w:rPr>
          <w:b w:val="0"/>
          <w:i w:val="0"/>
          <w:sz w:val="22"/>
        </w:rPr>
        <w:t>Таблица 4 — Сравнение прямых моделей: R² на групповой кросс-валидации (OOF) и переносимость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381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Модель</w:t>
            </w:r>
          </w:p>
        </w:tc>
        <w:tc>
          <w:tcPr>
            <w:tcW w:type="dxa" w:w="964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E₀</w:t>
            </w:r>
          </w:p>
        </w:tc>
        <w:tc>
          <w:tcPr>
            <w:tcW w:type="dxa" w:w="964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x₀</w:t>
            </w:r>
          </w:p>
        </w:tc>
        <w:tc>
          <w:tcPr>
            <w:tcW w:type="dxa" w:w="964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Sme</w:t>
            </w:r>
          </w:p>
        </w:tc>
        <w:tc>
          <w:tcPr>
            <w:tcW w:type="dxa" w:w="1928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Интервалы UQ</w:t>
            </w:r>
          </w:p>
        </w:tc>
        <w:tc>
          <w:tcPr>
            <w:tcW w:type="dxa" w:w="2041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20"/>
              </w:rPr>
              <w:t>Внешний хим. холдаут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sz w:val="20"/>
              </w:rPr>
              <w:t>CatBoost (production)</w:t>
            </w:r>
          </w:p>
        </w:tc>
        <w:tc>
          <w:tcPr>
            <w:tcW w:type="dxa" w:w="9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0.81</w:t>
            </w:r>
          </w:p>
        </w:tc>
        <w:tc>
          <w:tcPr>
            <w:tcW w:type="dxa" w:w="9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0.81</w:t>
            </w:r>
          </w:p>
        </w:tc>
        <w:tc>
          <w:tcPr>
            <w:tcW w:type="dxa" w:w="9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0.75</w:t>
            </w:r>
          </w:p>
        </w:tc>
        <w:tc>
          <w:tcPr>
            <w:tcW w:type="dxa" w:w="192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есть (MAPIE, CV+)</w:t>
            </w:r>
          </w:p>
        </w:tc>
        <w:tc>
          <w:tcPr>
            <w:tcW w:type="dxa" w:w="2041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отрицательный R²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sz w:val="20"/>
              </w:rPr>
              <w:t>TabPFN-3</w:t>
            </w:r>
          </w:p>
        </w:tc>
        <w:tc>
          <w:tcPr>
            <w:tcW w:type="dxa" w:w="9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0.81</w:t>
            </w:r>
          </w:p>
        </w:tc>
        <w:tc>
          <w:tcPr>
            <w:tcW w:type="dxa" w:w="9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0.80</w:t>
            </w:r>
          </w:p>
        </w:tc>
        <w:tc>
          <w:tcPr>
            <w:tcW w:type="dxa" w:w="9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0.74</w:t>
            </w:r>
          </w:p>
        </w:tc>
        <w:tc>
          <w:tcPr>
            <w:tcW w:type="dxa" w:w="192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нет</w:t>
            </w:r>
          </w:p>
        </w:tc>
        <w:tc>
          <w:tcPr>
            <w:tcW w:type="dxa" w:w="2041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20"/>
              </w:rPr>
              <w:t>отрицательный R²</w:t>
            </w:r>
          </w:p>
        </w:tc>
      </w:tr>
    </w:tbl>
    <w:p>
      <w:pPr>
        <w:spacing w:before="0" w:after="120" w:line="240" w:lineRule="auto"/>
        <w:jc w:val="both"/>
      </w:pPr>
      <w:r>
        <w:rPr>
          <w:b w:val="0"/>
          <w:i w:val="0"/>
          <w:sz w:val="24"/>
        </w:rPr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181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backen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18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b w:val="0"/>
          <w:i w:val="0"/>
          <w:sz w:val="22"/>
        </w:rPr>
        <w:t>Рисунок 6 — Сопоставление CatBoost и TabPFN-3 на групповой кросс-валидации и деградация CatBoost при переносе на незнакомые химические системы (LOGO)</w:t>
      </w:r>
    </w:p>
    <w:p>
      <w:pPr>
        <w:keepNext/>
        <w:spacing w:before="200" w:after="80"/>
        <w:jc w:val="left"/>
      </w:pPr>
      <w:r>
        <w:rPr>
          <w:b/>
          <w:i w:val="0"/>
          <w:sz w:val="24"/>
        </w:rPr>
        <w:t>4.5. Переносимость на незнакомые химические системы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Ключевой и наиболее строгий результат даёт протокол LOGO (§3.6). Объединённые по 17 системам метрики: R² = -0.47 (E₀), -0.74 (x₀), -0.58 (Sme) — на незнакомой химии модель хуже тривиального предсказания средним. Более того, нулевая модель с y-рандомизацией показывает менее отрицательные значения (-0.28, -0.11, -0.09): обученная модель не просто не обобщает, а уверенно экстраполирует в неверную сторону, перенося закономерности доминирующих систем на новую химию (рис. 7а). Погрупповой анализ (рис. 7б) показывает, что отрицательные R² характерны и для крупных удерживаемых групп: эффект не сводится к малым выборкам отдельных систем.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Сдвиг распределения разрушает и конформные гарантии: на внешнем химическом холдауте покрытие 90-процентных интервалов составляет 98 % для E₀, но лишь 46 % для x₀ и 17 % для Sme — конформное предсказание опирается на обменность (exchangeability) данных, которая нарушается при переходе к незнакомой химии. Откалиброванность интервалов, как и точечные метрики, гарантирована только внутри изученного химического пространства.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Этот результат интерпретируется однозначно: при 17 системах «металл–лиганд», 73 % которых сосредоточено в трёх системах, узким местом является химическое разнообразие данных, а не выбор алгоритма — что подтверждается и независимым провалом TabPFN-3 на внешнем холдауте (§4.4). Внутренние оценки R² ≈ 0.75–0.81 (§4.1) корректно характеризуют интерполяцию в пределах изученных систем и не должны экстраполироваться на новые комбинации металл–лиганд. Практический вывод: приоритетным направлением повышения качества является расширение химического покрытия базы (новые металлы, лиганды, растворители), а не дальнейший тюнинг моделей.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105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generaliz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0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b w:val="0"/>
          <w:i w:val="0"/>
          <w:sz w:val="22"/>
        </w:rPr>
        <w:t>Рисунок 7 — Переносимость прямой модели: (а) внутренние OOF-оценки против объединённых LOGO-метрик и нулевой модели y-рандомизации; (б) погрупповые R² LOGO в зависимости от размера удерживаемой системы</w:t>
      </w:r>
    </w:p>
    <w:p>
      <w:pPr>
        <w:keepNext/>
        <w:spacing w:before="200" w:after="80"/>
        <w:jc w:val="left"/>
      </w:pPr>
      <w:r>
        <w:rPr>
          <w:b/>
          <w:i w:val="0"/>
          <w:sz w:val="24"/>
        </w:rPr>
        <w:t>4.6. Обратный дизайн условий синтеза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Работа контура обратного дизайна проиллюстрирована на целевом профиле y* = (E₀ = 15 кДж/моль, x₀ = 0.5 нм, Sme = 100 м²/г) — микропористый адсорбент с умеренной энергетикой и развитой мезопористостью. Бюджет поиска — 60 уникальных кандидатов, из них 60 (100 %) удовлетворяют всем ограничениям; лучший score = 0.1727. Сходимость поиска и предсказания для итогового списка из 12 рецептур показаны на рис. 8; список охватывает 7 различных химий «металл|лиганд|растворитель» (табл. 5). Конформные интервалы позволяют выбирать кандидатов с учётом риска: при сопоставимых score предпочтительны рецептуры с более узкими интервалами.</w:t>
      </w:r>
    </w:p>
    <w:p>
      <w:pPr>
        <w:spacing w:before="0" w:after="0"/>
        <w:ind w:firstLine="709"/>
        <w:jc w:val="both"/>
      </w:pPr>
      <w:r>
        <w:rPr>
          <w:sz w:val="24"/>
        </w:rPr>
        <w:t xml:space="preserve">Структура найденного компромисса физически содержательна (рис. 8б, в): предсказания Sme ложатся вокруг цели (91–140 м²/г), тогда как E₀ оседает в диапазоне 20.0–22.7 кДж/моль вместо 15, а x₀ — в диапазоне 0.62–0.70 нм вместо 0.5. Причина в том, что заданный для иллюстрации профиль внутренне противоречив: по соотношению Дубинина–Стёкли </w:t>
      </w:r>
      <m:oMath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  <m:r>
          <m:t xml:space="preserve">≈</m:t>
        </m:r>
        <m:f>
          <m:num>
            <m:r>
              <m:t xml:space="preserve">12</m:t>
            </m:r>
          </m:num>
          <m:den>
            <m:sSub>
              <m:e>
                <m:r>
                  <m:t xml:space="preserve">E</m:t>
                </m:r>
              </m:e>
              <m:sub>
                <m:r>
                  <m:t xml:space="preserve">0</m:t>
                </m:r>
              </m:sub>
            </m:sSub>
          </m:den>
        </m:f>
      </m:oMath>
      <w:r>
        <w:rPr>
          <w:sz w:val="24"/>
        </w:rPr>
        <w:t xml:space="preserve"> энергии E₀ = 15 кДж/моль соответствует x₀ ≈ 0.8 нм, а полуширине x₀ = 0.5 нм — E₀ ≈ 24 кДж/моль: одновременно обе цели недостижимы. Оптимизатор, опираясь на обученную на физически согласованных данных прямую модель, не «выдумывает» недостижимую комбинацию, а смещает обе величины к взаимно согласованной области между двумя целями — поведение, желательное для инструмента подбора реальных рецептур.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Отметим преднамеренный консерватизм контура: за счёт проекции кандидатов в допустимое множество (§3.7) рекомендации тяготеют к окрестностям реальных рецептур. В свете результатов §4.5 это корректное поведение: в режиме слабой экстраполяции на новую химию доверять можно лишь предсказаниям вблизи изученной области, а расширение зоны поиска должно сопровождаться расширением данных.</w:t>
      </w:r>
    </w:p>
    <w:p>
      <w:pPr>
        <w:spacing w:before="200" w:after="80" w:line="240" w:lineRule="auto"/>
        <w:jc w:val="left"/>
      </w:pPr>
      <w:r>
        <w:rPr>
          <w:b w:val="0"/>
          <w:i w:val="0"/>
          <w:sz w:val="22"/>
        </w:rPr>
        <w:t>Таблица 5 — Фрагмент итогового списка рекомендуемых рецептур (первые 6 из 12; цель: E₀ = 15 кДж/моль, x₀ = 0.5 нм, Sme = 100 м²/г); для E₀ приведён 90-процентный конформный интервал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454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1134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18"/>
              </w:rPr>
              <w:t>Система</w:t>
            </w:r>
          </w:p>
        </w:tc>
        <w:tc>
          <w:tcPr>
            <w:tcW w:type="dxa" w:w="1134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18"/>
              </w:rPr>
              <w:t>Растворитель</w:t>
            </w:r>
          </w:p>
        </w:tc>
        <w:tc>
          <w:tcPr>
            <w:tcW w:type="dxa" w:w="907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18"/>
              </w:rPr>
              <w:t>m(соли), г</w:t>
            </w:r>
          </w:p>
        </w:tc>
        <w:tc>
          <w:tcPr>
            <w:tcW w:type="dxa" w:w="964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18"/>
              </w:rPr>
              <w:t>m(кис-ты), г</w:t>
            </w:r>
          </w:p>
        </w:tc>
        <w:tc>
          <w:tcPr>
            <w:tcW w:type="dxa" w:w="737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18"/>
              </w:rPr>
              <w:t>Vсин, мл</w:t>
            </w:r>
          </w:p>
        </w:tc>
        <w:tc>
          <w:tcPr>
            <w:tcW w:type="dxa" w:w="1304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18"/>
              </w:rPr>
              <w:t>Tсин/Tсуш/Tрег, °C</w:t>
            </w:r>
          </w:p>
        </w:tc>
        <w:tc>
          <w:tcPr>
            <w:tcW w:type="dxa" w:w="1474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18"/>
              </w:rPr>
              <w:t>E₀ [интервал]</w:t>
            </w:r>
          </w:p>
        </w:tc>
        <w:tc>
          <w:tcPr>
            <w:tcW w:type="dxa" w:w="567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18"/>
              </w:rPr>
              <w:t>x₀</w:t>
            </w:r>
          </w:p>
        </w:tc>
        <w:tc>
          <w:tcPr>
            <w:tcW w:type="dxa" w:w="567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18"/>
              </w:rPr>
              <w:t>Sme</w:t>
            </w:r>
          </w:p>
        </w:tc>
        <w:tc>
          <w:tcPr>
            <w:tcW w:type="dxa" w:w="680"/>
            <w:shd w:val="clear" w:fill="E8EDF3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b/>
                <w:sz w:val="18"/>
              </w:rPr>
              <w:t>score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20" w:before="20"/>
              <w:jc w:val="lef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Y|BTC</w:t>
            </w:r>
          </w:p>
        </w:tc>
        <w:tc>
          <w:tcPr>
            <w:tcW w:type="dxa" w:w="113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ДМФА</w:t>
            </w:r>
          </w:p>
        </w:tc>
        <w:tc>
          <w:tcPr>
            <w:tcW w:type="dxa" w:w="90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0.43</w:t>
            </w:r>
          </w:p>
        </w:tc>
        <w:tc>
          <w:tcPr>
            <w:tcW w:type="dxa" w:w="9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0.21</w:t>
            </w:r>
          </w:p>
        </w:tc>
        <w:tc>
          <w:tcPr>
            <w:tcW w:type="dxa" w:w="73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30</w:t>
            </w:r>
          </w:p>
        </w:tc>
        <w:tc>
          <w:tcPr>
            <w:tcW w:type="dxa" w:w="1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130/130/300</w:t>
            </w:r>
          </w:p>
        </w:tc>
        <w:tc>
          <w:tcPr>
            <w:tcW w:type="dxa" w:w="147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20.3 [14.2; 28.9]</w:t>
            </w:r>
          </w:p>
        </w:tc>
        <w:tc>
          <w:tcPr>
            <w:tcW w:type="dxa" w:w="56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0.70</w:t>
            </w:r>
          </w:p>
        </w:tc>
        <w:tc>
          <w:tcPr>
            <w:tcW w:type="dxa" w:w="56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91</w:t>
            </w:r>
          </w:p>
        </w:tc>
        <w:tc>
          <w:tcPr>
            <w:tcW w:type="dxa" w:w="68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0.173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20" w:before="20"/>
              <w:jc w:val="lef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Y|BTC</w:t>
            </w:r>
          </w:p>
        </w:tc>
        <w:tc>
          <w:tcPr>
            <w:tcW w:type="dxa" w:w="113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ДМФА</w:t>
            </w:r>
          </w:p>
        </w:tc>
        <w:tc>
          <w:tcPr>
            <w:tcW w:type="dxa" w:w="90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0.44</w:t>
            </w:r>
          </w:p>
        </w:tc>
        <w:tc>
          <w:tcPr>
            <w:tcW w:type="dxa" w:w="9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0.21</w:t>
            </w:r>
          </w:p>
        </w:tc>
        <w:tc>
          <w:tcPr>
            <w:tcW w:type="dxa" w:w="73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30</w:t>
            </w:r>
          </w:p>
        </w:tc>
        <w:tc>
          <w:tcPr>
            <w:tcW w:type="dxa" w:w="1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150/110/290</w:t>
            </w:r>
          </w:p>
        </w:tc>
        <w:tc>
          <w:tcPr>
            <w:tcW w:type="dxa" w:w="147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21.1 [14.7; 29.5]</w:t>
            </w:r>
          </w:p>
        </w:tc>
        <w:tc>
          <w:tcPr>
            <w:tcW w:type="dxa" w:w="56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0.67</w:t>
            </w:r>
          </w:p>
        </w:tc>
        <w:tc>
          <w:tcPr>
            <w:tcW w:type="dxa" w:w="56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93</w:t>
            </w:r>
          </w:p>
        </w:tc>
        <w:tc>
          <w:tcPr>
            <w:tcW w:type="dxa" w:w="68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0.200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20" w:before="20"/>
              <w:jc w:val="lef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Fe|BTC</w:t>
            </w:r>
          </w:p>
        </w:tc>
        <w:tc>
          <w:tcPr>
            <w:tcW w:type="dxa" w:w="113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ДМФА</w:t>
            </w:r>
          </w:p>
        </w:tc>
        <w:tc>
          <w:tcPr>
            <w:tcW w:type="dxa" w:w="90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1.21</w:t>
            </w:r>
          </w:p>
        </w:tc>
        <w:tc>
          <w:tcPr>
            <w:tcW w:type="dxa" w:w="9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0.63</w:t>
            </w:r>
          </w:p>
        </w:tc>
        <w:tc>
          <w:tcPr>
            <w:tcW w:type="dxa" w:w="73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36</w:t>
            </w:r>
          </w:p>
        </w:tc>
        <w:tc>
          <w:tcPr>
            <w:tcW w:type="dxa" w:w="1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150/150/150</w:t>
            </w:r>
          </w:p>
        </w:tc>
        <w:tc>
          <w:tcPr>
            <w:tcW w:type="dxa" w:w="147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21.0 [14.0; 28.3]</w:t>
            </w:r>
          </w:p>
        </w:tc>
        <w:tc>
          <w:tcPr>
            <w:tcW w:type="dxa" w:w="56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0.67</w:t>
            </w:r>
          </w:p>
        </w:tc>
        <w:tc>
          <w:tcPr>
            <w:tcW w:type="dxa" w:w="56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114</w:t>
            </w:r>
          </w:p>
        </w:tc>
        <w:tc>
          <w:tcPr>
            <w:tcW w:type="dxa" w:w="68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0.206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20" w:before="20"/>
              <w:jc w:val="lef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Fe|BTC</w:t>
            </w:r>
          </w:p>
        </w:tc>
        <w:tc>
          <w:tcPr>
            <w:tcW w:type="dxa" w:w="113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ДМФА</w:t>
            </w:r>
          </w:p>
        </w:tc>
        <w:tc>
          <w:tcPr>
            <w:tcW w:type="dxa" w:w="90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1.08</w:t>
            </w:r>
          </w:p>
        </w:tc>
        <w:tc>
          <w:tcPr>
            <w:tcW w:type="dxa" w:w="9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0.49</w:t>
            </w:r>
          </w:p>
        </w:tc>
        <w:tc>
          <w:tcPr>
            <w:tcW w:type="dxa" w:w="73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42</w:t>
            </w:r>
          </w:p>
        </w:tc>
        <w:tc>
          <w:tcPr>
            <w:tcW w:type="dxa" w:w="1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130/120/220</w:t>
            </w:r>
          </w:p>
        </w:tc>
        <w:tc>
          <w:tcPr>
            <w:tcW w:type="dxa" w:w="147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21.6 [15.0; 30.1]</w:t>
            </w:r>
          </w:p>
        </w:tc>
        <w:tc>
          <w:tcPr>
            <w:tcW w:type="dxa" w:w="56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0.66</w:t>
            </w:r>
          </w:p>
        </w:tc>
        <w:tc>
          <w:tcPr>
            <w:tcW w:type="dxa" w:w="56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102</w:t>
            </w:r>
          </w:p>
        </w:tc>
        <w:tc>
          <w:tcPr>
            <w:tcW w:type="dxa" w:w="68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0.217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20" w:before="20"/>
              <w:jc w:val="lef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La|BTB</w:t>
            </w:r>
          </w:p>
        </w:tc>
        <w:tc>
          <w:tcPr>
            <w:tcW w:type="dxa" w:w="113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ДМФА</w:t>
            </w:r>
          </w:p>
        </w:tc>
        <w:tc>
          <w:tcPr>
            <w:tcW w:type="dxa" w:w="90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4.26</w:t>
            </w:r>
          </w:p>
        </w:tc>
        <w:tc>
          <w:tcPr>
            <w:tcW w:type="dxa" w:w="9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2.74</w:t>
            </w:r>
          </w:p>
        </w:tc>
        <w:tc>
          <w:tcPr>
            <w:tcW w:type="dxa" w:w="73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177</w:t>
            </w:r>
          </w:p>
        </w:tc>
        <w:tc>
          <w:tcPr>
            <w:tcW w:type="dxa" w:w="1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140/140/160</w:t>
            </w:r>
          </w:p>
        </w:tc>
        <w:tc>
          <w:tcPr>
            <w:tcW w:type="dxa" w:w="147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22.6 [15.2; 29.7]</w:t>
            </w:r>
          </w:p>
        </w:tc>
        <w:tc>
          <w:tcPr>
            <w:tcW w:type="dxa" w:w="56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0.63</w:t>
            </w:r>
          </w:p>
        </w:tc>
        <w:tc>
          <w:tcPr>
            <w:tcW w:type="dxa" w:w="56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102</w:t>
            </w:r>
          </w:p>
        </w:tc>
        <w:tc>
          <w:tcPr>
            <w:tcW w:type="dxa" w:w="68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0.271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20" w:before="20"/>
              <w:jc w:val="lef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Zr|BTC</w:t>
            </w:r>
          </w:p>
        </w:tc>
        <w:tc>
          <w:tcPr>
            <w:tcW w:type="dxa" w:w="113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ДМФА</w:t>
            </w:r>
          </w:p>
        </w:tc>
        <w:tc>
          <w:tcPr>
            <w:tcW w:type="dxa" w:w="90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0.62</w:t>
            </w:r>
          </w:p>
        </w:tc>
        <w:tc>
          <w:tcPr>
            <w:tcW w:type="dxa" w:w="9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0.51</w:t>
            </w:r>
          </w:p>
        </w:tc>
        <w:tc>
          <w:tcPr>
            <w:tcW w:type="dxa" w:w="73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1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130/150/250</w:t>
            </w:r>
          </w:p>
        </w:tc>
        <w:tc>
          <w:tcPr>
            <w:tcW w:type="dxa" w:w="147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22.5 [15.0; 29.2]</w:t>
            </w:r>
          </w:p>
        </w:tc>
        <w:tc>
          <w:tcPr>
            <w:tcW w:type="dxa" w:w="56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0.64</w:t>
            </w:r>
          </w:p>
        </w:tc>
        <w:tc>
          <w:tcPr>
            <w:tcW w:type="dxa" w:w="567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105</w:t>
            </w:r>
          </w:p>
        </w:tc>
        <w:tc>
          <w:tcPr>
            <w:tcW w:type="dxa" w:w="68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sz w:val="18"/>
              </w:rPr>
              <w:t>0.271</w:t>
            </w:r>
          </w:p>
        </w:tc>
      </w:tr>
    </w:tbl>
    <w:p>
      <w:pPr>
        <w:spacing w:before="0" w:after="120" w:line="240" w:lineRule="auto"/>
        <w:jc w:val="both"/>
      </w:pPr>
      <w:r>
        <w:rPr>
          <w:b w:val="0"/>
          <w:i w:val="0"/>
          <w:sz w:val="24"/>
        </w:rPr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109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inver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b w:val="0"/>
          <w:i w:val="0"/>
          <w:sz w:val="22"/>
        </w:rPr>
        <w:t>Рисунок 8 — Обратный дизайн (BoFire, qParEGO + qLogNEI): (а) сходимость поиска; (б, в) предсказания E₀ и Sme для рецептур итогового списка с 90-процентными конформными интервалами; пунктир — целевые значения</w:t>
      </w:r>
    </w:p>
    <w:p>
      <w:pPr>
        <w:keepNext/>
        <w:spacing w:before="280" w:after="160"/>
        <w:jc w:val="center"/>
      </w:pPr>
      <w:r>
        <w:rPr>
          <w:b/>
          <w:i w:val="0"/>
          <w:sz w:val="24"/>
        </w:rPr>
        <w:t>CONCLUSIONS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Построен и валидирован сквозной конвейер обратного дизайна условий синтеза MOF-адсорбентов по заданным структурно-энергетическим характеристикам. Основные выводы работы следующие.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1. На экспериментальной базе из 380 воспроизводимых методик синтеза (7 металлов, 4 лиганда, 8 растворителей) прямая модель CatBoost с ансамблированием и честным групповым контролем утечек достигает R² = 0.81 (E₀), 0.81 (x₀) и 0.75 (Sme) на групповой кросс-валидации. Корректный учёт повторных рецептур и стабилизация отбора признаков существенны: без них оценка качества для зашумлённого таргета Sme искажается на ±0.1 R².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2. Конформные интервалы (MAPIE, CV+) на малой выборке консервативны (покрытие 98.7–99.5 % при целевых 90 %), но информативны: приём половины предсказаний с самыми узкими интервалами снижает RMSE в 2.1–3.2 раза, что обеспечивает риск-ориентированный отбор кандидатов в контуре обратного дизайна.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3. Табличный foundation-трансформер TabPFN-3 достигает паритета с настроенным CatBoost на внутренней кросс-валидации (R² = 0.74–0.81), что демонстрирует зрелость предобученных табличных моделей на данных объёма ~400 строк; однако отсутствие интервальной оценки неопределённости ограничивает его производственное применение.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4. Строгий протокол leave-one-group-out по 17 системам «металл–лиганд» с контролем y-рандомизацией выявил главное ограничение: на незнакомой химии все модели показывают отрицательные R² (−0.47…−0.74), худшие, чем у нулевой модели. Потолок качества определяет химическое разнообразие данных (73 % выборки в трёх системах), а не алгоритм; внутренние метрики применимы только к представленным в данных системам.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5. Контур целевой байесовской оптимизации (BoFire, qParEGO + qLogNEI) с явными физико-химическими ограничениями и проекцией в допустимое множество формирует диверсифицированный ранжированный список рецептур с конформными интервалами предсказаний, пригодный для прямой экспериментальной проверки.</w:t>
      </w:r>
    </w:p>
    <w:p>
      <w:pPr>
        <w:spacing w:before="0" w:after="0"/>
        <w:ind w:firstLine="709"/>
        <w:jc w:val="both"/>
      </w:pPr>
      <w:r>
        <w:rPr>
          <w:b w:val="0"/>
          <w:i w:val="0"/>
          <w:sz w:val="24"/>
        </w:rPr>
        <w:t>Дальнейшая работа будет сосредоточена на расширении химического покрытия базы данных (новые металлы, лиганды и растворители, в том числе за счёт интеграции внешних источников), экспериментальной проверке рекомендованных рецептур и замыкании цикла активного обучения «предсказание → синтез → измерение → дообучение».</w:t>
      </w:r>
    </w:p>
    <w:p>
      <w:pPr>
        <w:keepNext/>
        <w:spacing w:before="280" w:after="160"/>
        <w:jc w:val="center"/>
      </w:pPr>
      <w:r>
        <w:rPr>
          <w:b/>
          <w:i w:val="0"/>
          <w:sz w:val="24"/>
        </w:rPr>
        <w:t>REFERENCES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1. Agrawal A., Choudhary A. Perspective: Materials informatics and big data: Realization of the “fourth paradigm” of science in materials science // APL Mater. 2016. V. 4. P. 053208.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2. Xie T., Grossman J.C. Crystal graph convolutional neural networks for an accurate and interpretable prediction of material properties // Phys. Rev. Lett. 2018. V. 120. P. 145301.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3. Back S., Yoon J., Tian N., Zhong W., Tran K., Ulissi Z.W. Convolutional neural network of atomic surface structures to predict binding energies for high-throughput screening of catalysts // J. Phys. Chem. Lett. 2019. V. 10. P. 4401–4408.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4. Wang H., Zhang L., Han J., E W. DeePMD-kit: A deep learning package for many-body potential energy representation and molecular dynamics // Comput. Phys. Commun. 2018. V. 228. P. 178–184.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5. Jumper J., Evans R., Pritzel A. et al. Highly accurate protein structure prediction with AlphaFold // Nature. 2021. V. 596. P. 583–589.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6. Baek M., DiMaio F., Anishchenko I. et al. Accurate prediction of protein structures and interactions using a three-track neural network // Science. 2021. V. 373. P. 871–876.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7. Deng H., Grunder S., Cordova K.E. et al. Large-pore apertures in a series of metal-organic frameworks // Science. 2012. V. 336. № 6084. P. 1018–1023.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8. Ahmed A., Seth S., Purewal J., Wong-Foy A.G., Veenstra M., Matzger A.J., Siegel D.J. Exceptional hydrogen storage achieved by screening nearly half a million metal-organic frameworks // Nat. Commun. 2019. V. 10. P. 1568.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9. Müller M., Hermes S., Kähler K., van den Berg M.W.E., Muhler M., Fischer R.A. Loading of MOF-5 with Cu and ZnO nanoparticles by gas-phase infiltration with organometallic precursors: properties of Cu/ZnO@MOF-5 as catalyst for methanol synthesis // Chem. Mater. 2008. V. 20. № 14. P. 4576–4587.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10. Park K.M., Kim H., Murray J., Koo J., Kim K. A facile preparation method for nanosized MOFs as a multifunctional material for cellular imaging and drug delivery // Supramol. Chem. 2017. V. 29. № 6. P. 441–445.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11. Chu F., Hu J., Wu C., Yao Z., Tian J., Li Z., Li C. Metal-organic frameworks as electrolyte additives to enable ultrastable plating/stripping of Li anode with dendrite inhibition // ACS Appl. Mater. Interfaces. 2019. V. 11. № 4. P. 3869–3879.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12. Gupta V., Mohiyuddin S., Sachdev A., Soni P., Gopinath P., Tyagi S. PEG-functionalized zirconium dicarboxylate MOFs for docetaxel drug delivery in vitro // J. Drug Delivery Sci. Technol. 2019. V. 52. P. 846–855.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13. Moghadam P.Z., Li A., Wiggin S.B., Tao A., Maloney A.G.P., Wood P.A., Ward S.C., Fairen-Jimenez D. Development of a Cambridge Structural Database subset: a collection of metal–organic frameworks for past, present, and future // Chem. Mater. 2017. V. 29. № 7. P. 2618–2625.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14. Wang G.D., Wang H.H., Shi W.J., Hou L., Wang Y.Y., Zhu Z. A highly stable MOF with F and N accessible sites for efficient capture and separation of acetylene from ternary mixtures // J. Mater. Chem. A. 2021. V. 9. P. 24495–24502.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15. Hobday C.L., Woodall C.H., Lennox M.J., Frost M., Kamenev K., Düren T., Morrison C.A., Moggach S.A. Understanding the adsorption process in ZIF-8 using high pressure crystallography and computational modelling // Nat. Commun. 2018. V. 9. P. 1429.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16. Rogacka J., Seremak A., Luna-Triguero A., Formalik F., Matito-Martos I., Firlej L., Calero S., Kuchta B. High-throughput screening of metal–organic frameworks for CO₂ and CH₄ separation in the presence of water // Chem. Eng. J. 2021. V. 403. P. 126392.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17. Cha J., Ga S., Lee S.J., Nam S., Bae Y.S., Chung Y.G. Integrated material and process evaluation of metal–organic frameworks database for energy-efficient SF₆/N₂ separation // Chem. Eng. J. 2021. V. 426. P. 131787.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18. Wang H., Qu Z., Yin Y., Zhang J., Ming P. Thermal management for hydrogen charging and discharging in a screened metal-organic framework particle tank // ACS Appl. Mater. Interfaces. 2021. V. 13. P. 61838–61848.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19. Lejaeghere K., Bihlmayer G., Björkman T. et al. Reproducibility in density functional theory calculations of solids // Science. 2016. V. 351. P. aad3000.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20. Fung V., Zhang J., Juarez E., Sumpter B.G. Benchmarking graph neural networks for materials chemistry // npj Comput. Mater. 2021. V. 7. P. 84.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21. Burner J., Schwiedrzik L., Krykunov M., Luo J., Boyd P.G., Woo T.K. High-performing deep learning regression models for predicting low-pressure CO₂ adsorption properties of metal–organic frameworks // J. Phys. Chem. C. 2020. V. 124. P. 27996–28005.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22. Altintas C., Altundal O.F., Keskin S., Yildirim R. Machine learning meets with metal organic frameworks for gas storage and separation // J. Chem. Inf. Model. 2021. V. 61. P. 2131–2146.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23. Lee S., Kim B., Cho H., Lee H., Lee S.Y., Cho E.S., Kim J. Computational screening of trillions of metal–organic frameworks for high-performance methane storage // ACS Appl. Mater. Interfaces. 2021. V. 13. P. 23647–23654.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24. Choudhary K., Yildirim T., Siderius D.W., Kusne A.G., McDannald A., Ortiz-Montalvo D.L. Graph neural network predictions of metal organic framework CO₂ adsorption properties // Comput. Mater. Sci. 2022. V. 210. P. 111388.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25. Moghadam P.Z., Rogge S.M., Li A. et al. Structure-mechanical stability relations of metal-organic frameworks via machine learning // Matter. 2019. V. 1. P. 219–234.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26. Nandy A., Duan C., Kulik H.J. Using machine learning and data mining to leverage community knowledge for the engineering of stable metal–organic frameworks // J. Am. Chem. Soc. 2021. V. 143. P. 17535–17547.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27. Chung Y.G., Haldoupis E., Bucior B.J. et al. Advances, updates, and analytics for the computation-ready, experimental metal–organic framework database: CoRE MOF 2019 // J. Chem. Eng. Data. 2019. V. 64. P. 5985–5998.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28. Rosen A.S., Iyer S.M., Ray D., Yao Z., Aspuru-Guzik A., Gagliardi L., Notestein J.M., Snurr R.Q. Machine learning the quantum-chemical properties of metal–organic frameworks for accelerated materials discovery // Matter. 2021. V. 4. P. 1578–1597.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29. Pardakhti M., Moharreri E., Wanik D., Suib S.L., Srivastava R. Machine learning using combined structural and chemical descriptors for prediction of methane adsorption performance of metal organic frameworks (MOFs) // ACS Comb. Sci. 2017. V. 19. P. 640–645.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30. Fanourgakis G.S., Gkagkas K., Tylianakis E., Klontzas E., Froudakis G. A robust machine learning algorithm for the prediction of methane adsorption in nanoporous materials // J. Phys. Chem. A. 2019. V. 123. P. 6080–6087.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31. Ohno H., Mukae Y. Machine learning approach for prediction and search: application to methane storage in a metal-organic framework // J. Phys. Chem. C. 2016. V. 120. P. 23963–23968.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32. Anderson R., Rodgers J., Argueta E., Biong A., Gómez-Gualdrón D.A. Role of pore chemistry and topology in the CO₂ capture capabilities of MOFs: from molecular simulation to machine learning // Chem. Mater. 2018. V. 30. P. 6325–6337.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33. Anderson G., Schweitzer B., Anderson R., Gómez-Gualdrón D.A. Attainable volumetric targets for adsorption-based hydrogen storage in porous crystals: molecular simulation and machine learning // J. Phys. Chem. C. 2019. V. 123. P. 120–130.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34. Gurnani R., Yu Z., Kim C., Sholl D.S., Ramprasad R. Interpretable machine learning-based predictions of methane uptake isotherms in metal-organic frameworks // Chem. Mater. 2021. V. 33. P. 3543–3552.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35. Chen P., Jiao R., Liu J., Liu Y., Lu Y. Interpretable graph transformer network for predicting adsorption isotherms of metal-organic frameworks // J. Chem. Inf. Model. 2022. V. 62. № 22. P. 5446–5456.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36. Ma R., Colón Y.J., Luo T. Transfer learning study of gas adsorption in metal-organic frameworks // ACS Appl. Mater. Interfaces. 2020. V. 12. P. 34041–34048.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37. Luo Y., Bag S., Zaremba O., Cierpka A., Andreo J., Wuttke S., Friederich P., Tsotsalas M. MOF synthesis prediction enabled by automatic data mining and machine learning // Angew. Chem. Int. Ed. 2022. V. 61. P. e202200242.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38. Brunauer S., Emmett P.H., Teller E. Adsorption of gases in multimolecular layers // J. Am. Chem. Soc. 1938. V. 60. P. 309–319.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39. Dubinin M.M. Fundamentals of the theory of adsorption in micropores of carbon adsorbents: characteristics of their adsorption properties and microporous structures // Carbon. 1989. V. 27. № 3. P. 457–467.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40. Dubinin M.M., Stoeckli H.F. Homogeneous and heterogeneous micropore structures in carbonaceous adsorbents // J. Colloid Interface Sci. 1980. V. 75. № 1. P. 34–42.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41. Thommes M., Kaneko K., Neimark A.V., Olivier J.P., Rodriguez-Reinoso F., Rouquerol J., Sing K.S.W. Physisorption of gases, with special reference to the evaluation of surface area and pore size distribution (IUPAC Technical Report) // Pure Appl. Chem. 2015. V. 87. P. 1051–1069.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42. Wilkinson M.D., Dumontier M., Aalbersberg I.J. et al. The FAIR guiding principles for scientific data management and stewardship // Sci. Data. 2016. V. 3. P. 160018.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43. RDKit: Open-source cheminformatics. https://www.rdkit.org.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44. Prokhorenkova L., Gusev G., Vorobev A., Dorogush A.V., Gulin A. CatBoost: unbiased boosting with categorical features // Advances in Neural Information Processing Systems 31 (NeurIPS 2018). 2018. P. 6638–6648.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45. Akiba T., Sano S., Yanase T., Ohta T., Koyama M. Optuna: a next-generation hyperparameter optimization framework // Proc. 25th ACM SIGKDD Int. Conf. on Knowledge Discovery and Data Mining. 2019. P. 2623–2631.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46. Pedregosa F., Varoquaux G., Gramfort A. et al. Scikit-learn: machine learning in Python // J. Mach. Learn. Res. 2011. V. 12. P. 2825–2830.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47. Meinshausen N., Bühlmann P. Stability selection // J. R. Stat. Soc. Ser. B. 2010. V. 72. № 4. P. 417–473.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48. Vovk V., Gammerman A., Shafer G. Algorithmic Learning in a Random World. New York: Springer, 2005.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49. Barber R.F., Candès E.J., Ramdas A., Tibshirani R.J. Predictive inference with the jackknife+ // Ann. Statist. 2021. V. 49. № 1. P. 486–507.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50. Taquet V., Blot V., Morzadec T., Lacombe L., Brunel N. MAPIE: an open-source library for distribution-free uncertainty quantification // arXiv preprint arXiv:2207.12274. 2022.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51. Rücker C., Rücker G., Meringer M. y-Randomization and its variants in QSPR/QSAR // J. Chem. Inf. Model. 2007. V. 47. № 6. P. 2345–2357.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52. Hollmann N., Müller S., Purucker L., Krishnakumar A., Körfer M., Hoo S.B., Schirrmeister R.T., Hutter F. Accurate predictions on small data with a tabular foundation model // Nature. 2025. V. 637. P. 319–326.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53. Dürholt J.P., Asche T.S., Kleinekorte J. et al. BoFire: Bayesian optimization framework intended for real experiments // arXiv preprint arXiv:2408.05040. 2024.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54. Balandat M., Karrer B., Jiang D.R., Daulton S., Letham B., Wilson A.G., Bakshy E. BoTorch: a framework for efficient Monte-Carlo Bayesian optimization // Advances in Neural Information Processing Systems 33 (NeurIPS 2020). 2020. P. 21524–21538.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55. Knowles J. ParEGO: a hybrid algorithm with on-line landscape approximation for expensive multiobjective optimization problems // IEEE Trans. Evol. Comput. 2006. V. 10. № 1. P. 50–66.</w:t>
      </w:r>
    </w:p>
    <w:p>
      <w:pPr>
        <w:spacing w:line="240" w:lineRule="auto" w:after="60"/>
        <w:ind w:left="425" w:hanging="425"/>
        <w:jc w:val="both"/>
      </w:pPr>
      <w:r>
        <w:rPr>
          <w:sz w:val="22"/>
        </w:rPr>
        <w:t>56. Ament S., Daulton S., Eriksson D., Balandat M., Bakshy E. Unexpected improvements to expected improvement for Bayesian optimization // Advances in Neural Information Processing Systems 36 (NeurIPS 2023). 2023.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