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0" w:line="360" w:lineRule="auto"/>
        <w:jc w:val="center"/>
      </w:pPr>
      <w:r>
        <w:rPr>
          <w:rFonts w:ascii="Times New Roman" w:cs="Times New Roman" w:eastAsia="Times New Roman" w:hAnsi="Times New Roman"/>
          <w:b/>
          <w:bCs/>
          <w:sz w:val="32"/>
          <w:szCs w:val="32"/>
        </w:rPr>
        <w:t xml:space="preserve">FINAL TEST REPORT</w:t>
      </w:r>
    </w:p>
    <w:p>
      <w:pPr>
        <w:spacing w:after="480" w:line="360" w:lineRule="auto"/>
        <w:jc w:val="center"/>
      </w:pPr>
      <w:r>
        <w:rPr>
          <w:rFonts w:ascii="Times New Roman" w:cs="Times New Roman" w:eastAsia="Times New Roman" w:hAnsi="Times New Roman"/>
          <w:b/>
          <w:bCs/>
          <w:sz w:val="32"/>
          <w:szCs w:val="32"/>
        </w:rPr>
        <w:t xml:space="preserve">AND SOLUTION DESCRIPTION</w:t>
      </w:r>
    </w:p>
    <w:p>
      <w:pPr>
        <w:spacing w:after="0" w:line="360" w:lineRule="auto"/>
        <w:jc w:val="center"/>
      </w:pPr>
      <w:r>
        <w:rPr>
          <w:rFonts w:ascii="Times New Roman" w:cs="Times New Roman" w:eastAsia="Times New Roman" w:hAnsi="Times New Roman"/>
          <w:i/>
          <w:iCs/>
          <w:sz w:val="28"/>
          <w:szCs w:val="28"/>
        </w:rPr>
        <w:t xml:space="preserve">MVP module for intelligent anomaly detection in oil production</w:t>
      </w:r>
    </w:p>
    <w:p>
      <w:pPr>
        <w:spacing w:after="360" w:line="360" w:lineRule="auto"/>
        <w:jc w:val="center"/>
      </w:pPr>
      <w:r>
        <w:rPr>
          <w:rFonts w:ascii="Times New Roman" w:cs="Times New Roman" w:eastAsia="Times New Roman" w:hAnsi="Times New Roman"/>
          <w:i/>
          <w:iCs/>
          <w:sz w:val="28"/>
          <w:szCs w:val="28"/>
        </w:rPr>
        <w:t xml:space="preserve">(Tubing String Leak, Inflow)</w:t>
      </w:r>
    </w:p>
    <w:p>
      <w:pPr>
        <w:spacing w:after="0" w:line="360" w:lineRule="auto"/>
        <w:jc w:val="center"/>
      </w:pPr>
      <w:r>
        <w:rPr>
          <w:rFonts w:ascii="Times New Roman" w:cs="Times New Roman" w:eastAsia="Times New Roman" w:hAnsi="Times New Roman"/>
          <w:i/>
          <w:iCs/>
          <w:sz w:val="28"/>
          <w:szCs w:val="28"/>
        </w:rPr>
        <w:t xml:space="preserve">Appendix to Contract No. 1</w:t>
      </w:r>
    </w:p>
    <w:p>
      <w:pPr>
        <w:spacing w:after="0" w:line="360" w:lineRule="auto"/>
        <w:jc w:val="center"/>
      </w:pPr>
      <w:r>
        <w:rPr>
          <w:rFonts w:ascii="Times New Roman" w:cs="Times New Roman" w:eastAsia="Times New Roman" w:hAnsi="Times New Roman"/>
          <w:i/>
          <w:iCs/>
          <w:sz w:val="28"/>
          <w:szCs w:val="28"/>
        </w:rPr>
        <w:t xml:space="preserve">(deliverables per clauses 3.3–3.6, 5.3 of the Statement of Work)</w:t>
      </w:r>
    </w:p>
    <w:p>
      <w:pPr>
        <w:spacing w:before="6200"/>
        <w:jc w:val="center"/>
      </w:pPr>
      <w:r>
        <w:rPr>
          <w:rFonts w:ascii="Times New Roman" w:cs="Times New Roman" w:eastAsia="Times New Roman" w:hAnsi="Times New Roman"/>
          <w:sz w:val="28"/>
          <w:szCs w:val="28"/>
        </w:rPr>
        <w:t xml:space="preserve">2026</w:t>
      </w:r>
    </w:p>
    <w:p>
      <w:pPr>
        <w:pageBreakBefore/>
      </w:pPr>
    </w:p>
    <w:p>
      <w:pPr>
        <w:spacing w:after="240" w:line="360" w:lineRule="auto"/>
        <w:jc w:val="center"/>
      </w:pPr>
      <w:r>
        <w:rPr>
          <w:rFonts w:ascii="Times New Roman" w:cs="Times New Roman" w:eastAsia="Times New Roman" w:hAnsi="Times New Roman"/>
          <w:b/>
          <w:bCs/>
          <w:sz w:val="28"/>
          <w:szCs w:val="28"/>
        </w:rPr>
        <w:t xml:space="preserve">CONTENTS</w:t>
      </w:r>
    </w:p>
    <w:p>
      <w:pPr>
        <w:tabs>
          <w:tab w:val="right" w:pos="9355" w:leader="dot"/>
        </w:tabs>
        <w:spacing w:after="0" w:line="360" w:lineRule="auto"/>
        <w:ind w:left="0"/>
      </w:pPr>
      <w:r>
        <w:rPr>
          <w:rFonts w:ascii="Times New Roman" w:cs="Times New Roman" w:eastAsia="Times New Roman" w:hAnsi="Times New Roman"/>
          <w:sz w:val="28"/>
          <w:szCs w:val="28"/>
        </w:rPr>
        <w:t xml:space="preserve">1 Purpose and Composition of the Module (clause 3.1)	4</w:t>
      </w:r>
    </w:p>
    <w:p>
      <w:pPr>
        <w:tabs>
          <w:tab w:val="right" w:pos="9355" w:leader="dot"/>
        </w:tabs>
        <w:spacing w:after="0" w:line="360" w:lineRule="auto"/>
        <w:ind w:left="0"/>
      </w:pPr>
      <w:r>
        <w:rPr>
          <w:rFonts w:ascii="Times New Roman" w:cs="Times New Roman" w:eastAsia="Times New Roman" w:hAnsi="Times New Roman"/>
          <w:sz w:val="28"/>
          <w:szCs w:val="28"/>
        </w:rPr>
        <w:t xml:space="preserve">2 Source Data and Sample Composition (clause 3.2)	4</w:t>
      </w:r>
    </w:p>
    <w:p>
      <w:pPr>
        <w:tabs>
          <w:tab w:val="right" w:pos="9355" w:leader="dot"/>
        </w:tabs>
        <w:spacing w:after="0" w:line="360" w:lineRule="auto"/>
        <w:ind w:left="360"/>
      </w:pPr>
      <w:r>
        <w:rPr>
          <w:rFonts w:ascii="Times New Roman" w:cs="Times New Roman" w:eastAsia="Times New Roman" w:hAnsi="Times New Roman"/>
          <w:sz w:val="28"/>
          <w:szCs w:val="28"/>
        </w:rPr>
        <w:t xml:space="preserve">2.1 Quantitative Composition of the Sample	4</w:t>
      </w:r>
    </w:p>
    <w:p>
      <w:pPr>
        <w:tabs>
          <w:tab w:val="right" w:pos="9355" w:leader="dot"/>
        </w:tabs>
        <w:spacing w:after="0" w:line="360" w:lineRule="auto"/>
        <w:ind w:left="360"/>
      </w:pPr>
      <w:r>
        <w:rPr>
          <w:rFonts w:ascii="Times New Roman" w:cs="Times New Roman" w:eastAsia="Times New Roman" w:hAnsi="Times New Roman"/>
          <w:sz w:val="28"/>
          <w:szCs w:val="28"/>
        </w:rPr>
        <w:t xml:space="preserve">2.2 Data Flows and Artifact Locations	5</w:t>
      </w:r>
    </w:p>
    <w:p>
      <w:pPr>
        <w:tabs>
          <w:tab w:val="right" w:pos="9355" w:leader="dot"/>
        </w:tabs>
        <w:spacing w:after="0" w:line="360" w:lineRule="auto"/>
        <w:ind w:left="0"/>
      </w:pPr>
      <w:r>
        <w:rPr>
          <w:rFonts w:ascii="Times New Roman" w:cs="Times New Roman" w:eastAsia="Times New Roman" w:hAnsi="Times New Roman"/>
          <w:sz w:val="28"/>
          <w:szCs w:val="28"/>
        </w:rPr>
        <w:t xml:space="preserve">3 Input and Output Parameters	6</w:t>
      </w:r>
    </w:p>
    <w:p>
      <w:pPr>
        <w:tabs>
          <w:tab w:val="right" w:pos="9355" w:leader="dot"/>
        </w:tabs>
        <w:spacing w:after="0" w:line="360" w:lineRule="auto"/>
        <w:ind w:left="360"/>
      </w:pPr>
      <w:r>
        <w:rPr>
          <w:rFonts w:ascii="Times New Roman" w:cs="Times New Roman" w:eastAsia="Times New Roman" w:hAnsi="Times New Roman"/>
          <w:sz w:val="28"/>
          <w:szCs w:val="28"/>
        </w:rPr>
        <w:t xml:space="preserve">3.1 Input Parameters	6</w:t>
      </w:r>
    </w:p>
    <w:p>
      <w:pPr>
        <w:tabs>
          <w:tab w:val="right" w:pos="9355" w:leader="dot"/>
        </w:tabs>
        <w:spacing w:after="0" w:line="360" w:lineRule="auto"/>
        <w:ind w:left="360"/>
      </w:pPr>
      <w:r>
        <w:rPr>
          <w:rFonts w:ascii="Times New Roman" w:cs="Times New Roman" w:eastAsia="Times New Roman" w:hAnsi="Times New Roman"/>
          <w:sz w:val="28"/>
          <w:szCs w:val="28"/>
        </w:rPr>
        <w:t xml:space="preserve">3.2 Output Parameters	7</w:t>
      </w:r>
    </w:p>
    <w:p>
      <w:pPr>
        <w:tabs>
          <w:tab w:val="right" w:pos="9355" w:leader="dot"/>
        </w:tabs>
        <w:spacing w:after="0" w:line="360" w:lineRule="auto"/>
        <w:ind w:left="0"/>
      </w:pPr>
      <w:r>
        <w:rPr>
          <w:rFonts w:ascii="Times New Roman" w:cs="Times New Roman" w:eastAsia="Times New Roman" w:hAnsi="Times New Roman"/>
          <w:sz w:val="28"/>
          <w:szCs w:val="28"/>
        </w:rPr>
        <w:t xml:space="preserve">4 Solution Architecture and Models Used	8</w:t>
      </w:r>
    </w:p>
    <w:p>
      <w:pPr>
        <w:tabs>
          <w:tab w:val="right" w:pos="9355" w:leader="dot"/>
        </w:tabs>
        <w:spacing w:after="0" w:line="360" w:lineRule="auto"/>
        <w:ind w:left="360"/>
      </w:pPr>
      <w:r>
        <w:rPr>
          <w:rFonts w:ascii="Times New Roman" w:cs="Times New Roman" w:eastAsia="Times New Roman" w:hAnsi="Times New Roman"/>
          <w:sz w:val="28"/>
          <w:szCs w:val="28"/>
        </w:rPr>
        <w:t xml:space="preserve">4.1 Normality Reference Encoder (Neural Network Model, PaAno Architecture)	8</w:t>
      </w:r>
    </w:p>
    <w:p>
      <w:pPr>
        <w:tabs>
          <w:tab w:val="right" w:pos="9355" w:leader="dot"/>
        </w:tabs>
        <w:spacing w:after="0" w:line="360" w:lineRule="auto"/>
        <w:ind w:left="360"/>
      </w:pPr>
      <w:r>
        <w:rPr>
          <w:rFonts w:ascii="Times New Roman" w:cs="Times New Roman" w:eastAsia="Times New Roman" w:hAnsi="Times New Roman"/>
          <w:sz w:val="28"/>
          <w:szCs w:val="28"/>
        </w:rPr>
        <w:t xml:space="preserve">4.2 Normal-Behavior Reference Bank (Shared)	8</w:t>
      </w:r>
    </w:p>
    <w:p>
      <w:pPr>
        <w:tabs>
          <w:tab w:val="right" w:pos="9355" w:leader="dot"/>
        </w:tabs>
        <w:spacing w:after="0" w:line="360" w:lineRule="auto"/>
        <w:ind w:left="360"/>
      </w:pPr>
      <w:r>
        <w:rPr>
          <w:rFonts w:ascii="Times New Roman" w:cs="Times New Roman" w:eastAsia="Times New Roman" w:hAnsi="Times New Roman"/>
          <w:sz w:val="28"/>
          <w:szCs w:val="28"/>
        </w:rPr>
        <w:t xml:space="preserve">4.3 Anomaly Onset Detection Layer	9</w:t>
      </w:r>
    </w:p>
    <w:p>
      <w:pPr>
        <w:tabs>
          <w:tab w:val="right" w:pos="9355" w:leader="dot"/>
        </w:tabs>
        <w:spacing w:after="0" w:line="360" w:lineRule="auto"/>
        <w:ind w:left="360"/>
      </w:pPr>
      <w:r>
        <w:rPr>
          <w:rFonts w:ascii="Times New Roman" w:cs="Times New Roman" w:eastAsia="Times New Roman" w:hAnsi="Times New Roman"/>
          <w:sz w:val="28"/>
          <w:szCs w:val="28"/>
        </w:rPr>
        <w:t xml:space="preserve">4.4 Physical Criteria by Anomaly Type	9</w:t>
      </w:r>
    </w:p>
    <w:p>
      <w:pPr>
        <w:tabs>
          <w:tab w:val="right" w:pos="9355" w:leader="dot"/>
        </w:tabs>
        <w:spacing w:after="0" w:line="360" w:lineRule="auto"/>
        <w:ind w:left="0"/>
      </w:pPr>
      <w:r>
        <w:rPr>
          <w:rFonts w:ascii="Times New Roman" w:cs="Times New Roman" w:eastAsia="Times New Roman" w:hAnsi="Times New Roman"/>
          <w:sz w:val="28"/>
          <w:szCs w:val="28"/>
        </w:rPr>
        <w:t xml:space="preserve">5 Composition of the Deliverables (clause 3.3)	9</w:t>
      </w:r>
    </w:p>
    <w:p>
      <w:pPr>
        <w:tabs>
          <w:tab w:val="right" w:pos="9355" w:leader="dot"/>
        </w:tabs>
        <w:spacing w:after="0" w:line="360" w:lineRule="auto"/>
        <w:ind w:left="0"/>
      </w:pPr>
      <w:r>
        <w:rPr>
          <w:rFonts w:ascii="Times New Roman" w:cs="Times New Roman" w:eastAsia="Times New Roman" w:hAnsi="Times New Roman"/>
          <w:sz w:val="28"/>
          <w:szCs w:val="28"/>
        </w:rPr>
        <w:t xml:space="preserve">6 Instructions for Launch, Testing, and Use (clause 3.4)	10</w:t>
      </w:r>
    </w:p>
    <w:p>
      <w:pPr>
        <w:tabs>
          <w:tab w:val="right" w:pos="9355" w:leader="dot"/>
        </w:tabs>
        <w:spacing w:after="0" w:line="360" w:lineRule="auto"/>
        <w:ind w:left="360"/>
      </w:pPr>
      <w:r>
        <w:rPr>
          <w:rFonts w:ascii="Times New Roman" w:cs="Times New Roman" w:eastAsia="Times New Roman" w:hAnsi="Times New Roman"/>
          <w:sz w:val="28"/>
          <w:szCs w:val="28"/>
        </w:rPr>
        <w:t xml:space="preserve">6.1 Environment Setup	10</w:t>
      </w:r>
    </w:p>
    <w:p>
      <w:pPr>
        <w:tabs>
          <w:tab w:val="right" w:pos="9355" w:leader="dot"/>
        </w:tabs>
        <w:spacing w:after="0" w:line="360" w:lineRule="auto"/>
        <w:ind w:left="360"/>
      </w:pPr>
      <w:r>
        <w:rPr>
          <w:rFonts w:ascii="Times New Roman" w:cs="Times New Roman" w:eastAsia="Times New Roman" w:hAnsi="Times New Roman"/>
          <w:sz w:val="28"/>
          <w:szCs w:val="28"/>
        </w:rPr>
        <w:t xml:space="preserve">6.2 Building the Dataset from the Customer's Exports	10</w:t>
      </w:r>
    </w:p>
    <w:p>
      <w:pPr>
        <w:tabs>
          <w:tab w:val="right" w:pos="9355" w:leader="dot"/>
        </w:tabs>
        <w:spacing w:after="0" w:line="360" w:lineRule="auto"/>
        <w:ind w:left="360"/>
      </w:pPr>
      <w:r>
        <w:rPr>
          <w:rFonts w:ascii="Times New Roman" w:cs="Times New Roman" w:eastAsia="Times New Roman" w:hAnsi="Times New Roman"/>
          <w:sz w:val="28"/>
          <w:szCs w:val="28"/>
        </w:rPr>
        <w:t xml:space="preserve">6.3 Training the Normality Reference (If Retraining Is Required)	10</w:t>
      </w:r>
    </w:p>
    <w:p>
      <w:pPr>
        <w:tabs>
          <w:tab w:val="right" w:pos="9355" w:leader="dot"/>
        </w:tabs>
        <w:spacing w:after="0" w:line="360" w:lineRule="auto"/>
        <w:ind w:left="360"/>
      </w:pPr>
      <w:r>
        <w:rPr>
          <w:rFonts w:ascii="Times New Roman" w:cs="Times New Roman" w:eastAsia="Times New Roman" w:hAnsi="Times New Roman"/>
          <w:sz w:val="28"/>
          <w:szCs w:val="28"/>
        </w:rPr>
        <w:t xml:space="preserve">6.4 Detection on Labeled Wells	10</w:t>
      </w:r>
    </w:p>
    <w:p>
      <w:pPr>
        <w:tabs>
          <w:tab w:val="right" w:pos="9355" w:leader="dot"/>
        </w:tabs>
        <w:spacing w:after="0" w:line="360" w:lineRule="auto"/>
        <w:ind w:left="360"/>
      </w:pPr>
      <w:r>
        <w:rPr>
          <w:rFonts w:ascii="Times New Roman" w:cs="Times New Roman" w:eastAsia="Times New Roman" w:hAnsi="Times New Roman"/>
          <w:sz w:val="28"/>
          <w:szCs w:val="28"/>
        </w:rPr>
        <w:t xml:space="preserve">6.5 Detection on New Wells (Blind Run over an Export Directory)	11</w:t>
      </w:r>
    </w:p>
    <w:p>
      <w:pPr>
        <w:tabs>
          <w:tab w:val="right" w:pos="9355" w:leader="dot"/>
        </w:tabs>
        <w:spacing w:after="0" w:line="360" w:lineRule="auto"/>
        <w:ind w:left="360"/>
      </w:pPr>
      <w:r>
        <w:rPr>
          <w:rFonts w:ascii="Times New Roman" w:cs="Times New Roman" w:eastAsia="Times New Roman" w:hAnsi="Times New Roman"/>
          <w:sz w:val="28"/>
          <w:szCs w:val="28"/>
        </w:rPr>
        <w:t xml:space="preserve">6.6 Report Generation	11</w:t>
      </w:r>
    </w:p>
    <w:p>
      <w:pPr>
        <w:tabs>
          <w:tab w:val="right" w:pos="9355" w:leader="dot"/>
        </w:tabs>
        <w:spacing w:after="0" w:line="360" w:lineRule="auto"/>
        <w:ind w:left="0"/>
      </w:pPr>
      <w:r>
        <w:rPr>
          <w:rFonts w:ascii="Times New Roman" w:cs="Times New Roman" w:eastAsia="Times New Roman" w:hAnsi="Times New Roman"/>
          <w:sz w:val="28"/>
          <w:szCs w:val="28"/>
        </w:rPr>
        <w:t xml:space="preserve">7 Test Results and Quality Metrics (clause 3.5)	11</w:t>
      </w:r>
    </w:p>
    <w:p>
      <w:pPr>
        <w:tabs>
          <w:tab w:val="right" w:pos="9355" w:leader="dot"/>
        </w:tabs>
        <w:spacing w:after="0" w:line="360" w:lineRule="auto"/>
        <w:ind w:left="360"/>
      </w:pPr>
      <w:r>
        <w:rPr>
          <w:rFonts w:ascii="Times New Roman" w:cs="Times New Roman" w:eastAsia="Times New Roman" w:hAnsi="Times New Roman"/>
          <w:sz w:val="28"/>
          <w:szCs w:val="28"/>
        </w:rPr>
        <w:t xml:space="preserve">7.1 Methodology and Metric Definitions	11</w:t>
      </w:r>
    </w:p>
    <w:p>
      <w:pPr>
        <w:tabs>
          <w:tab w:val="right" w:pos="9355" w:leader="dot"/>
        </w:tabs>
        <w:spacing w:after="0" w:line="360" w:lineRule="auto"/>
        <w:ind w:left="360"/>
      </w:pPr>
      <w:r>
        <w:rPr>
          <w:rFonts w:ascii="Times New Roman" w:cs="Times New Roman" w:eastAsia="Times New Roman" w:hAnsi="Times New Roman"/>
          <w:sz w:val="28"/>
          <w:szCs w:val="28"/>
        </w:rPr>
        <w:t xml:space="preserve">7.2 Blind Test on the Customer's Data	12</w:t>
      </w:r>
    </w:p>
    <w:p>
      <w:pPr>
        <w:tabs>
          <w:tab w:val="right" w:pos="9355" w:leader="dot"/>
        </w:tabs>
        <w:spacing w:after="0" w:line="360" w:lineRule="auto"/>
        <w:ind w:left="360"/>
      </w:pPr>
      <w:r>
        <w:rPr>
          <w:rFonts w:ascii="Times New Roman" w:cs="Times New Roman" w:eastAsia="Times New Roman" w:hAnsi="Times New Roman"/>
          <w:sz w:val="28"/>
          <w:szCs w:val="28"/>
        </w:rPr>
        <w:t xml:space="preserve">7.3 Control Check on Labeled Data	12</w:t>
      </w:r>
    </w:p>
    <w:p>
      <w:pPr>
        <w:tabs>
          <w:tab w:val="right" w:pos="9355" w:leader="dot"/>
        </w:tabs>
        <w:spacing w:after="0" w:line="360" w:lineRule="auto"/>
        <w:ind w:left="360"/>
      </w:pPr>
      <w:r>
        <w:rPr>
          <w:rFonts w:ascii="Times New Roman" w:cs="Times New Roman" w:eastAsia="Times New Roman" w:hAnsi="Times New Roman"/>
          <w:sz w:val="28"/>
          <w:szCs w:val="28"/>
        </w:rPr>
        <w:t xml:space="preserve">7.4 Visualization of Results	13</w:t>
      </w:r>
    </w:p>
    <w:p>
      <w:pPr>
        <w:tabs>
          <w:tab w:val="right" w:pos="9355" w:leader="dot"/>
        </w:tabs>
        <w:spacing w:after="0" w:line="360" w:lineRule="auto"/>
        <w:ind w:left="0"/>
      </w:pPr>
      <w:r>
        <w:rPr>
          <w:rFonts w:ascii="Times New Roman" w:cs="Times New Roman" w:eastAsia="Times New Roman" w:hAnsi="Times New Roman"/>
          <w:sz w:val="28"/>
          <w:szCs w:val="28"/>
        </w:rPr>
        <w:t xml:space="preserve">8 Recommendations for Further Development (clause 3.6)	17</w:t>
      </w:r>
    </w:p>
    <w:p>
      <w:pPr>
        <w:tabs>
          <w:tab w:val="right" w:pos="9355" w:leader="dot"/>
        </w:tabs>
        <w:spacing w:after="0" w:line="360" w:lineRule="auto"/>
        <w:ind w:left="360"/>
      </w:pPr>
      <w:r>
        <w:rPr>
          <w:rFonts w:ascii="Times New Roman" w:cs="Times New Roman" w:eastAsia="Times New Roman" w:hAnsi="Times New Roman"/>
          <w:sz w:val="28"/>
          <w:szCs w:val="28"/>
        </w:rPr>
        <w:t xml:space="preserve">8.1 Expanding the List of Detected Anomalies	17</w:t>
      </w:r>
    </w:p>
    <w:p>
      <w:pPr>
        <w:tabs>
          <w:tab w:val="right" w:pos="9355" w:leader="dot"/>
        </w:tabs>
        <w:spacing w:after="0" w:line="360" w:lineRule="auto"/>
        <w:ind w:left="360"/>
      </w:pPr>
      <w:r>
        <w:rPr>
          <w:rFonts w:ascii="Times New Roman" w:cs="Times New Roman" w:eastAsia="Times New Roman" w:hAnsi="Times New Roman"/>
          <w:sz w:val="28"/>
          <w:szCs w:val="28"/>
        </w:rPr>
        <w:t xml:space="preserve">8.2 Improving Quality for Existing Types	17</w:t>
      </w:r>
    </w:p>
    <w:p>
      <w:pPr>
        <w:tabs>
          <w:tab w:val="right" w:pos="9355" w:leader="dot"/>
        </w:tabs>
        <w:spacing w:after="0" w:line="360" w:lineRule="auto"/>
        <w:ind w:left="360"/>
      </w:pPr>
      <w:r>
        <w:rPr>
          <w:rFonts w:ascii="Times New Roman" w:cs="Times New Roman" w:eastAsia="Times New Roman" w:hAnsi="Times New Roman"/>
          <w:sz w:val="28"/>
          <w:szCs w:val="28"/>
        </w:rPr>
        <w:t xml:space="preserve">8.3 Deployment into the Production Environment	17</w:t>
      </w:r>
    </w:p>
    <w:p>
      <w:pPr>
        <w:pStyle w:val="Heading1"/>
        <w:pageBreakBefore/>
      </w:pPr>
      <w:r>
        <w:rPr>
          <w:rFonts w:ascii="Times New Roman" w:cs="Times New Roman" w:eastAsia="Times New Roman" w:hAnsi="Times New Roman"/>
          <w:b/>
          <w:bCs/>
          <w:sz w:val="28"/>
          <w:szCs w:val="28"/>
        </w:rPr>
        <w:t xml:space="preserve">1 Purpose and Composition of the Module (clause 3.1)</w:t>
      </w:r>
    </w:p>
    <w:p>
      <w:pPr>
        <w:spacing w:after="0" w:line="360" w:lineRule="auto"/>
        <w:ind w:firstLine="709"/>
        <w:jc w:val="both"/>
      </w:pPr>
      <w:r>
        <w:rPr>
          <w:rFonts w:ascii="Times New Roman" w:cs="Times New Roman" w:eastAsia="Times New Roman" w:hAnsi="Times New Roman"/>
          <w:sz w:val="28"/>
          <w:szCs w:val="28"/>
        </w:rPr>
        <w:t xml:space="preserve">An MVP software module for intelligent anomaly detection in oil production has been developed, operating on the telemetry of electric submersible pump (ESP) units. The module analyzes time series of well field telemetry and detects two agreed anomaly types, determining both the presence of an anomaly and its onset time.</w:t>
      </w:r>
    </w:p>
    <w:p>
      <w:pPr>
        <w:spacing w:after="0" w:line="360" w:lineRule="auto"/>
        <w:ind w:firstLine="709"/>
        <w:jc w:val="both"/>
      </w:pPr>
      <w:r>
        <w:rPr>
          <w:rFonts w:ascii="Times New Roman" w:cs="Times New Roman" w:eastAsia="Times New Roman" w:hAnsi="Times New Roman"/>
          <w:sz w:val="28"/>
          <w:szCs w:val="28"/>
        </w:rPr>
        <w:t xml:space="preserve">Tubing string leak — an abrupt failure event: a step-like rise in pump intake pressure while the pump is running. The indicator is a sharp relative step in pressure; temperatures and currents may respond but are not required. The anomaly has no precursor — the abrupt change itself is the event, so the onset is fixed at the step.</w:t>
      </w:r>
    </w:p>
    <w:p>
      <w:pPr>
        <w:spacing w:after="0" w:line="360" w:lineRule="auto"/>
        <w:ind w:firstLine="709"/>
        <w:jc w:val="both"/>
      </w:pPr>
      <w:r>
        <w:rPr>
          <w:rFonts w:ascii="Times New Roman" w:cs="Times New Roman" w:eastAsia="Times New Roman" w:hAnsi="Times New Roman"/>
          <w:sz w:val="28"/>
          <w:szCs w:val="28"/>
        </w:rPr>
        <w:t xml:space="preserve">Inflow — a change in the inflow of formation fluid: a sustained intake-pressure trend (upward or downward) at a stable output frequency, with no signs of pump performance degradation. The main indicator is the pressure trend; output frequency serves as a regime control.</w:t>
      </w:r>
    </w:p>
    <w:p>
      <w:pPr>
        <w:pStyle w:val="Heading1"/>
      </w:pPr>
      <w:r>
        <w:rPr>
          <w:rFonts w:ascii="Times New Roman" w:cs="Times New Roman" w:eastAsia="Times New Roman" w:hAnsi="Times New Roman"/>
          <w:b/>
          <w:bCs/>
          <w:sz w:val="28"/>
          <w:szCs w:val="28"/>
        </w:rPr>
        <w:t xml:space="preserve">2 Source Data and Sample Composition (clause 3.2)</w:t>
      </w:r>
    </w:p>
    <w:p>
      <w:pPr>
        <w:spacing w:after="0" w:line="360" w:lineRule="auto"/>
        <w:ind w:firstLine="709"/>
        <w:jc w:val="both"/>
      </w:pPr>
      <w:r>
        <w:rPr>
          <w:rFonts w:ascii="Times New Roman" w:cs="Times New Roman" w:eastAsia="Times New Roman" w:hAnsi="Times New Roman"/>
          <w:sz w:val="28"/>
          <w:szCs w:val="28"/>
        </w:rPr>
        <w:t xml:space="preserve">The module is run and has been tested on data provided by the Customer — tabular exports of well field telemetry. Processing is fully autonomous and does not call any external services (it operates without a network connection). All exports are brought to a common 5-minute time grid and a common set of parameters.</w:t>
      </w:r>
    </w:p>
    <w:p>
      <w:pPr>
        <w:pStyle w:val="Heading2"/>
      </w:pPr>
      <w:r>
        <w:rPr>
          <w:rFonts w:ascii="Times New Roman" w:cs="Times New Roman" w:eastAsia="Times New Roman" w:hAnsi="Times New Roman"/>
          <w:b/>
          <w:bCs/>
          <w:sz w:val="28"/>
          <w:szCs w:val="28"/>
        </w:rPr>
        <w:t xml:space="preserve">2.1 Quantitative Composition of the Sample</w:t>
      </w:r>
    </w:p>
    <w:p>
      <w:pPr>
        <w:spacing w:after="0" w:line="360" w:lineRule="auto"/>
        <w:ind w:firstLine="709"/>
        <w:jc w:val="both"/>
      </w:pPr>
      <w:r>
        <w:rPr>
          <w:rFonts w:ascii="Times New Roman" w:cs="Times New Roman" w:eastAsia="Times New Roman" w:hAnsi="Times New Roman"/>
          <w:sz w:val="28"/>
          <w:szCs w:val="28"/>
        </w:rPr>
        <w:t xml:space="preserve">The table below gives the distribution of wells by purpose (normality reference training — internal validation — external blind test). The normality reference is understood as a model of the well's normal behavior; it is trained on normal regimes, so training uses normal wells and normal well segments prior to anomaly onset.</w:t>
      </w:r>
    </w:p>
    <w:p>
      <w:pPr>
        <w:spacing w:after="60" w:before="160" w:line="360" w:lineRule="auto"/>
        <w:jc w:val="left"/>
      </w:pPr>
      <w:r>
        <w:rPr>
          <w:rFonts w:ascii="Times New Roman" w:cs="Times New Roman" w:eastAsia="Times New Roman" w:hAnsi="Times New Roman"/>
          <w:sz w:val="28"/>
          <w:szCs w:val="28"/>
        </w:rPr>
        <w:t xml:space="preserve">Table 1 — Distribution of Wells by Purpose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1655"/>
        <w:gridCol w:w="1400"/>
        <w:gridCol w:w="1400"/>
        <w:gridCol w:w="1200"/>
      </w:tblGrid>
      <w:tr>
        <w:trPr>
          <w:tblHeader/>
        </w:trPr>
        <w:tc>
          <w:tcPr>
            <w:tcW w:type="dxa" w:w="24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Type / purpose</w:t>
            </w:r>
          </w:p>
        </w:tc>
        <w:tc>
          <w:tcPr>
            <w:tcW w:type="dxa" w:w="13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Provided</w:t>
            </w:r>
          </w:p>
        </w:tc>
        <w:tc>
          <w:tcPr>
            <w:tcW w:type="dxa" w:w="16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Normality reference training</w:t>
            </w:r>
          </w:p>
        </w:tc>
        <w:tc>
          <w:tcPr>
            <w:tcW w:type="dxa" w:w="14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Internal validation</w:t>
            </w:r>
          </w:p>
        </w:tc>
        <w:tc>
          <w:tcPr>
            <w:tcW w:type="dxa" w:w="14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External blind test</w:t>
            </w:r>
          </w:p>
        </w:tc>
        <w:tc>
          <w:tcPr>
            <w:tcW w:type="dxa" w:w="12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Excluded (data hygiene)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Inflow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33</w:t>
            </w:r>
          </w:p>
        </w:tc>
        <w:tc>
          <w:tcPr>
            <w:tcW w:type="dxa" w:w="16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2 (wells 3138, 5021)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7 (42-713, 42-723, 45-790, 46-806, 48-812, 1071, 590)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Tubing leak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w:t>
            </w:r>
          </w:p>
        </w:tc>
        <w:tc>
          <w:tcPr>
            <w:tcW w:type="dxa" w:w="16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2 (172g, 3509g)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 (524)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 (524)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 (5271g)</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Normal operation (normality reference)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23</w:t>
            </w:r>
          </w:p>
        </w:tc>
        <w:tc>
          <w:tcPr>
            <w:tcW w:type="dxa" w:w="16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23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w:t>
            </w:r>
          </w:p>
        </w:tc>
      </w:tr>
    </w:tbl>
    <w:p>
      <w:pPr>
        <w:spacing w:after="0" w:line="240" w:lineRule="auto"/>
      </w:pPr>
      <w:r>
        <w:rPr>
          <w:sz w:val="16"/>
          <w:szCs w:val="16"/>
        </w:rPr>
        <w:t xml:space="preserve"/>
      </w:r>
    </w:p>
    <w:p>
      <w:pPr>
        <w:spacing w:after="0" w:line="360" w:lineRule="auto"/>
        <w:ind w:firstLine="709"/>
        <w:jc w:val="both"/>
      </w:pPr>
      <w:r>
        <w:rPr>
          <w:rFonts w:ascii="Times New Roman" w:cs="Times New Roman" w:eastAsia="Times New Roman" w:hAnsi="Times New Roman"/>
          <w:sz w:val="28"/>
          <w:szCs w:val="28"/>
        </w:rPr>
        <w:t xml:space="preserve">Notes on the table. For inflow, of the 33 wells, 26 are expert-labeled (24 for training, 2 for internal validation), and another 7 were provided without labels specifically for the blind test (inflow was detected in 6 of them; well 590 has no anomaly, which confirms the absence of false alarms on a normal well). For tubing leak, 4 labeled wells were provided: two (172g, 3509g) were used to train the normality reference, one (524) was placed in the blind test — the model did not use it during training — and one (5271g) was excluded from the normality reference (an ambiguous downward pressure trend was found in its "normal" segment, which is a data-hygiene measure rather than an error). The normality reference was supplemented with 23 normal wells: 20 in regular operation and 3 with normal regime changes (output-frequency changes), needed to distinguish the response to a regime change from an anomaly.</w:t>
      </w:r>
    </w:p>
    <w:p>
      <w:pPr>
        <w:pStyle w:val="Heading2"/>
      </w:pPr>
      <w:r>
        <w:rPr>
          <w:rFonts w:ascii="Times New Roman" w:cs="Times New Roman" w:eastAsia="Times New Roman" w:hAnsi="Times New Roman"/>
          <w:b/>
          <w:bCs/>
          <w:sz w:val="28"/>
          <w:szCs w:val="28"/>
        </w:rPr>
        <w:t xml:space="preserve">2.2 Data Flows and Artifact Locations</w:t>
      </w:r>
    </w:p>
    <w:p>
      <w:pPr>
        <w:spacing w:after="0" w:line="360" w:lineRule="auto"/>
        <w:ind w:firstLine="709"/>
        <w:jc w:val="both"/>
      </w:pPr>
      <w:r>
        <w:rPr>
          <w:rFonts w:ascii="Times New Roman" w:cs="Times New Roman" w:eastAsia="Times New Roman" w:hAnsi="Times New Roman"/>
          <w:sz w:val="28"/>
          <w:szCs w:val="28"/>
        </w:rPr>
        <w:t xml:space="preserve">The data path from the source exports to the per-well report:</w:t>
      </w:r>
    </w:p>
    <w:p>
      <w:pPr>
        <w:spacing w:after="60" w:before="160" w:line="360" w:lineRule="auto"/>
        <w:jc w:val="left"/>
      </w:pPr>
      <w:r>
        <w:rPr>
          <w:rFonts w:ascii="Times New Roman" w:cs="Times New Roman" w:eastAsia="Times New Roman" w:hAnsi="Times New Roman"/>
          <w:sz w:val="28"/>
          <w:szCs w:val="28"/>
        </w:rPr>
        <w:t xml:space="preserve">Table 2 — Data Flows and Artifact Locations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2600"/>
        <w:gridCol w:w="3155"/>
      </w:tblGrid>
      <w:tr>
        <w:trPr>
          <w:tblHeader/>
        </w:trPr>
        <w:tc>
          <w:tcPr>
            <w:tcW w:type="dxa" w:w="17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Stage</w:t>
            </w:r>
          </w:p>
        </w:tc>
        <w:tc>
          <w:tcPr>
            <w:tcW w:type="dxa" w:w="19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Input</w:t>
            </w:r>
          </w:p>
        </w:tc>
        <w:tc>
          <w:tcPr>
            <w:tcW w:type="dxa" w:w="26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Program</w:t>
            </w:r>
          </w:p>
        </w:tc>
        <w:tc>
          <w:tcPr>
            <w:tcW w:type="dxa" w:w="31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Output</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Dataset assembly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data/raw/&lt;type&gt;/*.xlsx (exports)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scripts/datasets/build_combined_summary_datasets.py</w:t>
            </w:r>
          </w:p>
        </w:tc>
        <w:tc>
          <w:tcPr>
            <w:tcW w:type="dxa" w:w="3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db/&lt;type&gt;_anomaly_database_5min.parquet; db/&lt;type&gt;_intervals.parquet; db/norm_work_database_5min.parquet</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Normality reference training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db/*.parquet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scripts/utils/build_population_memory_bank.py</w:t>
            </w:r>
          </w:p>
        </w:tc>
        <w:tc>
          <w:tcPr>
            <w:tcW w:type="dxa" w:w="3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models/global_normality_paano_shared_encoder.&lt;class&gt;.pt; models/population_memory_bank_paano_global_global_normality.&lt;class&gt;.npz</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Detection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well export + models/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scripts/detection/detect_&lt;type&gt;.py; scripts/detection/detect_test_wells_batch.py</w:t>
            </w:r>
          </w:p>
        </w:tc>
        <w:tc>
          <w:tcPr>
            <w:tcW w:type="dxa" w:w="3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artifacts/.../&lt;well&gt;/&lt;type&gt;/source.parquet, scores.parquet, predicted_starts.parquet, summary.json</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Report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artifacts/.../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scripts/reports/generate_test_wells_report.py</w:t>
            </w:r>
          </w:p>
        </w:tc>
        <w:tc>
          <w:tcPr>
            <w:tcW w:type="dxa" w:w="3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artifacts/reports/*.html (standalone web page)</w:t>
            </w:r>
          </w:p>
        </w:tc>
      </w:tr>
    </w:tbl>
    <w:p>
      <w:pPr>
        <w:spacing w:after="0" w:line="240" w:lineRule="auto"/>
      </w:pPr>
      <w:r>
        <w:rPr>
          <w:sz w:val="16"/>
          <w:szCs w:val="16"/>
        </w:rPr>
        <w:t xml:space="preserve"/>
      </w:r>
    </w:p>
    <w:p>
      <w:pPr>
        <w:pStyle w:val="Heading1"/>
      </w:pPr>
      <w:r>
        <w:rPr>
          <w:rFonts w:ascii="Times New Roman" w:cs="Times New Roman" w:eastAsia="Times New Roman" w:hAnsi="Times New Roman"/>
          <w:b/>
          <w:bCs/>
          <w:sz w:val="28"/>
          <w:szCs w:val="28"/>
        </w:rPr>
        <w:t xml:space="preserve">3 Input and Output Parameters</w:t>
      </w:r>
    </w:p>
    <w:p>
      <w:pPr>
        <w:pStyle w:val="Heading2"/>
      </w:pPr>
      <w:r>
        <w:rPr>
          <w:rFonts w:ascii="Times New Roman" w:cs="Times New Roman" w:eastAsia="Times New Roman" w:hAnsi="Times New Roman"/>
          <w:b/>
          <w:bCs/>
          <w:sz w:val="28"/>
          <w:szCs w:val="28"/>
        </w:rPr>
        <w:t xml:space="preserve">3.1 Input Parameters</w:t>
      </w:r>
    </w:p>
    <w:p>
      <w:pPr>
        <w:spacing w:after="0" w:line="360" w:lineRule="auto"/>
        <w:ind w:firstLine="709"/>
        <w:jc w:val="both"/>
      </w:pPr>
      <w:r>
        <w:rPr>
          <w:rFonts w:ascii="Times New Roman" w:cs="Times New Roman" w:eastAsia="Times New Roman" w:hAnsi="Times New Roman"/>
          <w:sz w:val="28"/>
          <w:szCs w:val="28"/>
        </w:rPr>
        <w:t xml:space="preserve">Up to 26 channels are available in the tabular telemetry export. The model uses 21 channels — a strict common channel set. It includes only channels present with completeness of at least 95% in every well of all classes (tubing leak, inflow, scaling, normal operation). This selection guarantees a uniform input set for any well and was made by data availability, not by feature importance. All 21 channels are fed to the model (including output frequency).</w:t>
      </w:r>
    </w:p>
    <w:p>
      <w:pPr>
        <w:spacing w:after="60" w:before="160" w:line="360" w:lineRule="auto"/>
        <w:jc w:val="left"/>
      </w:pPr>
      <w:r>
        <w:rPr>
          <w:rFonts w:ascii="Times New Roman" w:cs="Times New Roman" w:eastAsia="Times New Roman" w:hAnsi="Times New Roman"/>
          <w:sz w:val="28"/>
          <w:szCs w:val="28"/>
        </w:rPr>
        <w:t xml:space="preserve">Table 3 — Model Input Channels (21 channels)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55"/>
      </w:tblGrid>
      <w:tr>
        <w:trPr>
          <w:tblHeader/>
        </w:trPr>
        <w:tc>
          <w:tcPr>
            <w:tcW w:type="dxa" w:w="22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Group</w:t>
            </w:r>
          </w:p>
        </w:tc>
        <w:tc>
          <w:tcPr>
            <w:tcW w:type="dxa" w:w="71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Channels (21 in total)</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Pressure</w:t>
            </w:r>
          </w:p>
        </w:tc>
        <w:tc>
          <w:tcPr>
            <w:tcW w:type="dxa" w:w="7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pump intake pressure (kgf/cm²)</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Temperatures</w:t>
            </w:r>
          </w:p>
        </w:tc>
        <w:tc>
          <w:tcPr>
            <w:tcW w:type="dxa" w:w="7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at the pump intake; motor oil (°C)</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Currents and load</w:t>
            </w:r>
          </w:p>
        </w:tc>
        <w:tc>
          <w:tcPr>
            <w:tcW w:type="dxa" w:w="7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phase currents A, B, C; current imbalance; SEM load factor; total output power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Voltages</w:t>
            </w:r>
          </w:p>
        </w:tc>
        <w:tc>
          <w:tcPr>
            <w:tcW w:type="dxa" w:w="7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line-to-line AB, BC, CA; phase Ua, Ub, Uc; voltage imbalance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Vibrations</w:t>
            </w:r>
          </w:p>
        </w:tc>
        <w:tc>
          <w:tcPr>
            <w:tcW w:type="dxa" w:w="7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along the X, Y, Z axes and total XYZ</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Operating mode</w:t>
            </w:r>
          </w:p>
        </w:tc>
        <w:tc>
          <w:tcPr>
            <w:tcW w:type="dxa" w:w="7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output frequency</w:t>
            </w:r>
          </w:p>
        </w:tc>
      </w:tr>
    </w:tbl>
    <w:p>
      <w:pPr>
        <w:spacing w:after="0" w:line="240" w:lineRule="auto"/>
      </w:pPr>
      <w:r>
        <w:rPr>
          <w:sz w:val="16"/>
          <w:szCs w:val="16"/>
        </w:rPr>
        <w:t xml:space="preserve"/>
      </w:r>
    </w:p>
    <w:p>
      <w:pPr>
        <w:spacing w:after="0" w:line="360" w:lineRule="auto"/>
        <w:ind w:firstLine="709"/>
        <w:jc w:val="both"/>
      </w:pPr>
      <w:r>
        <w:rPr>
          <w:rFonts w:ascii="Times New Roman" w:cs="Times New Roman" w:eastAsia="Times New Roman" w:hAnsi="Times New Roman"/>
          <w:sz w:val="28"/>
          <w:szCs w:val="28"/>
        </w:rPr>
        <w:t xml:space="preserve">Of the 26 export channels, 5 are not fed to the model due to incomplete coverage (a channel is missing in at least one well of one of the classes, or its completeness is below 95%):</w:t>
      </w:r>
    </w:p>
    <w:p>
      <w:pPr>
        <w:spacing w:after="60" w:before="160" w:line="360" w:lineRule="auto"/>
        <w:jc w:val="left"/>
      </w:pPr>
      <w:r>
        <w:rPr>
          <w:rFonts w:ascii="Times New Roman" w:cs="Times New Roman" w:eastAsia="Times New Roman" w:hAnsi="Times New Roman"/>
          <w:sz w:val="28"/>
          <w:szCs w:val="28"/>
        </w:rPr>
        <w:t xml:space="preserve">Table 4 — Export Channels Not Used by the Model</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55"/>
      </w:tblGrid>
      <w:tr>
        <w:trPr>
          <w:tblHeader/>
        </w:trPr>
        <w:tc>
          <w:tcPr>
            <w:tcW w:type="dxa" w:w="34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Not used</w:t>
            </w:r>
          </w:p>
        </w:tc>
        <w:tc>
          <w:tcPr>
            <w:tcW w:type="dxa" w:w="59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Reason</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Cos φ</w:t>
            </w:r>
          </w:p>
        </w:tc>
        <w:tc>
          <w:tcPr>
            <w:tcW w:type="dxa" w:w="5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missing in at least one scaling well</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Active output power</w:t>
            </w:r>
          </w:p>
        </w:tc>
        <w:tc>
          <w:tcPr>
            <w:tcW w:type="dxa" w:w="5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missing in at least one inflow well</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Vibration XY</w:t>
            </w:r>
          </w:p>
        </w:tc>
        <w:tc>
          <w:tcPr>
            <w:tcW w:type="dxa" w:w="5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missing in at least one inflow well (the X, Y, Z, XYZ axes are covered — retained)</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VFD output current</w:t>
            </w:r>
          </w:p>
        </w:tc>
        <w:tc>
          <w:tcPr>
            <w:tcW w:type="dxa" w:w="5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missing in at least one inflow well</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VFD DC-link voltage</w:t>
            </w:r>
          </w:p>
        </w:tc>
        <w:tc>
          <w:tcPr>
            <w:tcW w:type="dxa" w:w="5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missing in inflow wells; in scaling wells completeness is below 95%</w:t>
            </w:r>
          </w:p>
        </w:tc>
      </w:tr>
    </w:tbl>
    <w:p>
      <w:pPr>
        <w:spacing w:after="0" w:line="240" w:lineRule="auto"/>
      </w:pPr>
      <w:r>
        <w:rPr>
          <w:sz w:val="16"/>
          <w:szCs w:val="16"/>
        </w:rPr>
        <w:t xml:space="preserve"/>
      </w:r>
    </w:p>
    <w:p>
      <w:pPr>
        <w:spacing w:after="0" w:line="360" w:lineRule="auto"/>
        <w:ind w:firstLine="709"/>
        <w:jc w:val="both"/>
      </w:pPr>
      <w:r>
        <w:rPr>
          <w:rFonts w:ascii="Times New Roman" w:cs="Times New Roman" w:eastAsia="Times New Roman" w:hAnsi="Times New Roman"/>
          <w:i/>
          <w:iCs/>
          <w:sz w:val="28"/>
          <w:szCs w:val="28"/>
        </w:rPr>
        <w:t xml:space="preserve">The most important features are intake pressure, temperatures, phase currents, and the SEM load factor; expert interpretation of the result relies on them. A separate experiment reduced to these 7 channels showed comparable quality; however, the production configuration uses all 21 channels for robustness.</w:t>
      </w:r>
    </w:p>
    <w:p>
      <w:pPr>
        <w:pStyle w:val="Heading2"/>
      </w:pPr>
      <w:r>
        <w:rPr>
          <w:rFonts w:ascii="Times New Roman" w:cs="Times New Roman" w:eastAsia="Times New Roman" w:hAnsi="Times New Roman"/>
          <w:b/>
          <w:bCs/>
          <w:sz w:val="28"/>
          <w:szCs w:val="28"/>
        </w:rPr>
        <w:t xml:space="preserve">3.2 Output Parameters</w:t>
      </w:r>
    </w:p>
    <w:p>
      <w:pPr>
        <w:spacing w:after="0" w:line="360" w:lineRule="auto"/>
        <w:ind w:firstLine="709"/>
        <w:jc w:val="both"/>
      </w:pPr>
      <w:r>
        <w:rPr>
          <w:rFonts w:ascii="Times New Roman" w:cs="Times New Roman" w:eastAsia="Times New Roman" w:hAnsi="Times New Roman"/>
          <w:sz w:val="28"/>
          <w:szCs w:val="28"/>
        </w:rPr>
        <w:t xml:space="preserve">For each well, the module produces a summary and a point-by-point result. Main summary fields:</w:t>
      </w:r>
    </w:p>
    <w:p>
      <w:pPr>
        <w:spacing w:after="60" w:before="160" w:line="360" w:lineRule="auto"/>
        <w:jc w:val="left"/>
      </w:pPr>
      <w:r>
        <w:rPr>
          <w:rFonts w:ascii="Times New Roman" w:cs="Times New Roman" w:eastAsia="Times New Roman" w:hAnsi="Times New Roman"/>
          <w:sz w:val="28"/>
          <w:szCs w:val="28"/>
        </w:rPr>
        <w:t xml:space="preserve">Table 5 — Main Summary Fields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55"/>
      </w:tblGrid>
      <w:tr>
        <w:trPr>
          <w:tblHeader/>
        </w:trPr>
        <w:tc>
          <w:tcPr>
            <w:tcW w:type="dxa" w:w="30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Field</w:t>
            </w:r>
          </w:p>
        </w:tc>
        <w:tc>
          <w:tcPr>
            <w:tcW w:type="dxa" w:w="63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Description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detected_starts</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list of anomaly onset times (date-time)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n_detected</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number of detected anomaly onsets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n_actionable_detected</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number of points with an actionable alert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n_incidents</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number of incidents (grouped episodes)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score_min / score_median / score_max</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anomaly-score statistics over the series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time_start / time_end</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bounds of the processed series interval</w:t>
            </w:r>
          </w:p>
        </w:tc>
      </w:tr>
    </w:tbl>
    <w:p>
      <w:pPr>
        <w:spacing w:after="0" w:line="240" w:lineRule="auto"/>
      </w:pPr>
      <w:r>
        <w:rPr>
          <w:sz w:val="16"/>
          <w:szCs w:val="16"/>
        </w:rPr>
        <w:t xml:space="preserve"/>
      </w:r>
    </w:p>
    <w:p>
      <w:pPr>
        <w:spacing w:after="0" w:line="360" w:lineRule="auto"/>
        <w:ind w:firstLine="709"/>
        <w:jc w:val="both"/>
      </w:pPr>
      <w:r>
        <w:rPr>
          <w:rFonts w:ascii="Times New Roman" w:cs="Times New Roman" w:eastAsia="Times New Roman" w:hAnsi="Times New Roman"/>
          <w:sz w:val="28"/>
          <w:szCs w:val="28"/>
        </w:rPr>
        <w:t xml:space="preserve">The point-by-point result (for each 5-minute point) additionally contains:</w:t>
      </w:r>
    </w:p>
    <w:p>
      <w:pPr>
        <w:spacing w:after="60" w:before="160" w:line="360" w:lineRule="auto"/>
        <w:jc w:val="left"/>
      </w:pPr>
      <w:r>
        <w:rPr>
          <w:rFonts w:ascii="Times New Roman" w:cs="Times New Roman" w:eastAsia="Times New Roman" w:hAnsi="Times New Roman"/>
          <w:sz w:val="28"/>
          <w:szCs w:val="28"/>
        </w:rPr>
        <w:t xml:space="preserve">Table 6 — Point-by-Point Result Fields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55"/>
      </w:tblGrid>
      <w:tr>
        <w:trPr>
          <w:tblHeader/>
        </w:trPr>
        <w:tc>
          <w:tcPr>
            <w:tcW w:type="dxa" w:w="30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Field</w:t>
            </w:r>
          </w:p>
        </w:tc>
        <w:tc>
          <w:tcPr>
            <w:tcW w:type="dxa" w:w="63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Description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score</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anomaly-score value (deviation from the normality reference)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quality_status</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data quality status (normal / artifact)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regime_status</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regime status (normal / transition)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zone_status</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zone status (clean normal / pre-failure zone)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event_class</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event class (warning / anomaly candidate)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actionable_alert</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actionable-alert flag</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incident_id / incident_state</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incident identifier and state</w:t>
            </w:r>
          </w:p>
        </w:tc>
      </w:tr>
    </w:tbl>
    <w:p>
      <w:pPr>
        <w:spacing w:after="0" w:line="240" w:lineRule="auto"/>
      </w:pPr>
      <w:r>
        <w:rPr>
          <w:sz w:val="16"/>
          <w:szCs w:val="16"/>
        </w:rPr>
        <w:t xml:space="preserve"/>
      </w:r>
    </w:p>
    <w:p>
      <w:pPr>
        <w:pStyle w:val="Heading1"/>
      </w:pPr>
      <w:r>
        <w:rPr>
          <w:rFonts w:ascii="Times New Roman" w:cs="Times New Roman" w:eastAsia="Times New Roman" w:hAnsi="Times New Roman"/>
          <w:b/>
          <w:bCs/>
          <w:sz w:val="28"/>
          <w:szCs w:val="28"/>
        </w:rPr>
        <w:t xml:space="preserve">4 Solution Architecture and Models Used</w:t>
      </w:r>
    </w:p>
    <w:p>
      <w:pPr>
        <w:spacing w:after="0" w:line="360" w:lineRule="auto"/>
        <w:ind w:firstLine="709"/>
        <w:jc w:val="both"/>
      </w:pPr>
      <w:r>
        <w:rPr>
          <w:rFonts w:ascii="Times New Roman" w:cs="Times New Roman" w:eastAsia="Times New Roman" w:hAnsi="Times New Roman"/>
          <w:sz w:val="28"/>
          <w:szCs w:val="28"/>
        </w:rPr>
        <w:t xml:space="preserve">The solution is built on the principle of detecting anomalies as deviations from a reference of the well's normal behavior. This approach does not require labeling failures in advance: the model is trained on normal regimes and reacts to departures from them. The solution consists of four layers.</w:t>
      </w:r>
    </w:p>
    <w:p>
      <w:pPr>
        <w:pStyle w:val="Heading2"/>
      </w:pPr>
      <w:r>
        <w:rPr>
          <w:rFonts w:ascii="Times New Roman" w:cs="Times New Roman" w:eastAsia="Times New Roman" w:hAnsi="Times New Roman"/>
          <w:b/>
          <w:bCs/>
          <w:sz w:val="28"/>
          <w:szCs w:val="28"/>
        </w:rPr>
        <w:t xml:space="preserve">4.1 Normality Reference Encoder (Neural Network Model, PaAno Architecture</w:t>
      </w:r>
      <w:r>
        <w:rPr>
          <w:rStyle w:val="FootnoteReference"/>
        </w:rPr>
        <w:footnoteReference w:id="1"/>
      </w:r>
      <w:r>
        <w:rPr>
          <w:rFonts w:ascii="Times New Roman" w:cs="Times New Roman" w:eastAsia="Times New Roman" w:hAnsi="Times New Roman"/>
          <w:b/>
          <w:bCs/>
          <w:sz w:val="28"/>
          <w:szCs w:val="28"/>
        </w:rPr>
        <w:t xml:space="preserve">)</w:t>
      </w:r>
    </w:p>
    <w:p>
      <w:pPr>
        <w:spacing w:after="0" w:line="360" w:lineRule="auto"/>
        <w:ind w:firstLine="709"/>
        <w:jc w:val="both"/>
      </w:pPr>
      <w:r>
        <w:rPr>
          <w:rFonts w:ascii="Times New Roman" w:cs="Times New Roman" w:eastAsia="Times New Roman" w:hAnsi="Times New Roman"/>
          <w:sz w:val="28"/>
          <w:szCs w:val="28"/>
        </w:rPr>
        <w:t xml:space="preserve">The neural network model encodes the well's multichannel telemetry in sliding windows of two scales — short and long (about 16 and 32 hours; at a 5-minute step this is 192 and 384 samples). The model is trained exclusively on normal operating regimes (fully normal wells and normal well segments prior to anomaly onset) and outputs a compact representation of the well's behavior in each window.</w:t>
      </w:r>
    </w:p>
    <w:p>
      <w:pPr>
        <w:pStyle w:val="Heading2"/>
      </w:pPr>
      <w:r>
        <w:rPr>
          <w:rFonts w:ascii="Times New Roman" w:cs="Times New Roman" w:eastAsia="Times New Roman" w:hAnsi="Times New Roman"/>
          <w:b/>
          <w:bCs/>
          <w:sz w:val="28"/>
          <w:szCs w:val="28"/>
        </w:rPr>
        <w:t xml:space="preserve">4.2 Normal-Behavior Reference Bank (Shared)</w:t>
      </w:r>
    </w:p>
    <w:p>
      <w:pPr>
        <w:spacing w:after="0" w:line="360" w:lineRule="auto"/>
        <w:ind w:firstLine="709"/>
        <w:jc w:val="both"/>
      </w:pPr>
      <w:r>
        <w:rPr>
          <w:rFonts w:ascii="Times New Roman" w:cs="Times New Roman" w:eastAsia="Times New Roman" w:hAnsi="Times New Roman"/>
          <w:sz w:val="28"/>
          <w:szCs w:val="28"/>
        </w:rPr>
        <w:t xml:space="preserve">A single (shared) bank of normal-behavior patterns, built across the well fleet: from fully normal wells and from normal well segments prior to anomaly onset. The bank represents one common operating norm and is used for all anomaly types — the anomaly score of each point in the series is computed as the distance of its pattern from the normality bank. Only those segments for which the absence of an unlabeled anomaly cannot be guaranteed are excluded from the bank (a data-hygiene measure), not for the sake of separating anomaly types.</w:t>
      </w:r>
    </w:p>
    <w:p>
      <w:pPr>
        <w:pStyle w:val="Heading2"/>
      </w:pPr>
      <w:r>
        <w:rPr>
          <w:rFonts w:ascii="Times New Roman" w:cs="Times New Roman" w:eastAsia="Times New Roman" w:hAnsi="Times New Roman"/>
          <w:b/>
          <w:bCs/>
          <w:sz w:val="28"/>
          <w:szCs w:val="28"/>
        </w:rPr>
        <w:t xml:space="preserve">4.3 Anomaly Onset Detection Layer</w:t>
      </w:r>
    </w:p>
    <w:p>
      <w:pPr>
        <w:spacing w:after="0" w:line="360" w:lineRule="auto"/>
        <w:ind w:firstLine="709"/>
        <w:jc w:val="both"/>
      </w:pPr>
      <w:r>
        <w:rPr>
          <w:rFonts w:ascii="Times New Roman" w:cs="Times New Roman" w:eastAsia="Times New Roman" w:hAnsi="Times New Roman"/>
          <w:sz w:val="28"/>
          <w:szCs w:val="28"/>
        </w:rPr>
        <w:t xml:space="preserve">A causal (past-only) algorithm detects a sustained deviation of the anomaly score from the baseline level. The threshold is calibrated on each well's reference segment with control of the false-alarm rate; confirmation requires the deviation to be sustained, which filters out isolated outliers.</w:t>
      </w:r>
    </w:p>
    <w:p>
      <w:pPr>
        <w:pStyle w:val="Heading2"/>
      </w:pPr>
      <w:r>
        <w:rPr>
          <w:rFonts w:ascii="Times New Roman" w:cs="Times New Roman" w:eastAsia="Times New Roman" w:hAnsi="Times New Roman"/>
          <w:b/>
          <w:bCs/>
          <w:sz w:val="28"/>
          <w:szCs w:val="28"/>
        </w:rPr>
        <w:t xml:space="preserve">4.4 Physical Criteria by Anomaly Type</w:t>
      </w:r>
    </w:p>
    <w:p>
      <w:pPr>
        <w:spacing w:after="0" w:line="360" w:lineRule="auto"/>
        <w:ind w:firstLine="709"/>
        <w:jc w:val="both"/>
      </w:pPr>
      <w:r>
        <w:rPr>
          <w:rFonts w:ascii="Times New Roman" w:cs="Times New Roman" w:eastAsia="Times New Roman" w:hAnsi="Times New Roman"/>
          <w:sz w:val="28"/>
          <w:szCs w:val="28"/>
        </w:rPr>
        <w:t xml:space="preserve">On top of the neural-network score, physically interpretable rules are applied to make the result explainable to an expert.</w:t>
      </w:r>
    </w:p>
    <w:p>
      <w:pPr>
        <w:spacing w:after="0" w:line="360" w:lineRule="auto"/>
        <w:ind w:firstLine="709"/>
        <w:jc w:val="both"/>
      </w:pPr>
      <w:r>
        <w:rPr>
          <w:rFonts w:ascii="Times New Roman" w:cs="Times New Roman" w:eastAsia="Times New Roman" w:hAnsi="Times New Roman"/>
          <w:sz w:val="28"/>
          <w:szCs w:val="28"/>
        </w:rPr>
        <w:t xml:space="preserve">Inflow — a sustained intake-pressure trend at a stable output frequency (a combined criterion of "pressure trend + neural-network score"); the onset is placed at the start of the trend.</w:t>
      </w:r>
    </w:p>
    <w:p>
      <w:pPr>
        <w:spacing w:after="0" w:line="360" w:lineRule="auto"/>
        <w:ind w:firstLine="709"/>
        <w:jc w:val="both"/>
      </w:pPr>
      <w:r>
        <w:rPr>
          <w:rFonts w:ascii="Times New Roman" w:cs="Times New Roman" w:eastAsia="Times New Roman" w:hAnsi="Times New Roman"/>
          <w:sz w:val="28"/>
          <w:szCs w:val="28"/>
        </w:rPr>
        <w:t xml:space="preserve">Tubing leak — a sharp relative step in intake pressure (a rise of at least 10% within up to 6 hours), outside zones of full pump shutdown; the onset is placed at the step itself. The threshold is relative (as a percentage of the given well's pressure level), so the criterion is universal and requires no per-well tuning.</w:t>
      </w:r>
    </w:p>
    <w:p>
      <w:pPr>
        <w:pStyle w:val="Heading1"/>
      </w:pPr>
      <w:r>
        <w:rPr>
          <w:rFonts w:ascii="Times New Roman" w:cs="Times New Roman" w:eastAsia="Times New Roman" w:hAnsi="Times New Roman"/>
          <w:b/>
          <w:bCs/>
          <w:sz w:val="28"/>
          <w:szCs w:val="28"/>
        </w:rPr>
        <w:t xml:space="preserve">5 Composition of the Deliverables (clause 3.3)</w:t>
      </w:r>
    </w:p>
    <w:p>
      <w:pPr>
        <w:spacing w:after="0" w:line="360" w:lineRule="auto"/>
        <w:ind w:firstLine="709"/>
        <w:jc w:val="both"/>
      </w:pPr>
      <w:r>
        <w:rPr>
          <w:rFonts w:ascii="Times New Roman" w:cs="Times New Roman" w:eastAsia="Times New Roman" w:hAnsi="Times New Roman"/>
          <w:sz w:val="28"/>
          <w:szCs w:val="28"/>
        </w:rPr>
        <w:t xml:space="preserve">The following is delivered to the Customer:</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Program code (source code) of the module: </w:t>
      </w:r>
      <w:r>
        <w:rPr>
          <w:rFonts w:ascii="Times New Roman" w:cs="Times New Roman" w:eastAsia="Times New Roman" w:hAnsi="Times New Roman"/>
          <w:sz w:val="28"/>
          <w:szCs w:val="28"/>
        </w:rPr>
        <w:t xml:space="preserve">the processing and detection library, dataset assembly from exports, normality-reference training, and scripts for running detection and generating reports.</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Trained models: </w:t>
      </w:r>
      <w:r>
        <w:rPr>
          <w:rFonts w:ascii="Times New Roman" w:cs="Times New Roman" w:eastAsia="Times New Roman" w:hAnsi="Times New Roman"/>
          <w:sz w:val="28"/>
          <w:szCs w:val="28"/>
        </w:rPr>
        <w:t xml:space="preserve">the normality-reference encoder and the normal-behavior reference bank (files in the models/ directory).</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Reporting materials: </w:t>
      </w:r>
      <w:r>
        <w:rPr>
          <w:rFonts w:ascii="Times New Roman" w:cs="Times New Roman" w:eastAsia="Times New Roman" w:hAnsi="Times New Roman"/>
          <w:sz w:val="28"/>
          <w:szCs w:val="28"/>
        </w:rPr>
        <w:t xml:space="preserve">interactive per-well reports as standalone web pages with telemetry charts and marked anomaly onset times; this final test report.</w:t>
      </w:r>
    </w:p>
    <w:p>
      <w:pPr>
        <w:pStyle w:val="Heading1"/>
      </w:pPr>
      <w:r>
        <w:rPr>
          <w:rFonts w:ascii="Times New Roman" w:cs="Times New Roman" w:eastAsia="Times New Roman" w:hAnsi="Times New Roman"/>
          <w:b/>
          <w:bCs/>
          <w:sz w:val="28"/>
          <w:szCs w:val="28"/>
        </w:rPr>
        <w:t xml:space="preserve">6 Instructions for Launch, Testing, and Use (clause 3.4)</w:t>
      </w:r>
    </w:p>
    <w:p>
      <w:pPr>
        <w:spacing w:after="0" w:line="360" w:lineRule="auto"/>
        <w:ind w:firstLine="709"/>
        <w:jc w:val="both"/>
      </w:pPr>
      <w:r>
        <w:rPr>
          <w:rFonts w:ascii="Times New Roman" w:cs="Times New Roman" w:eastAsia="Times New Roman" w:hAnsi="Times New Roman"/>
          <w:sz w:val="28"/>
          <w:szCs w:val="28"/>
        </w:rPr>
        <w:t xml:space="preserve">The full sequence of commands is given below. Commands are run from the project root directory. Directories: data/raw — source exports; db — assembled datasets; models — trained models; artifacts — detection results and reports.</w:t>
      </w:r>
    </w:p>
    <w:p>
      <w:pPr>
        <w:pStyle w:val="Heading2"/>
      </w:pPr>
      <w:r>
        <w:rPr>
          <w:rFonts w:ascii="Times New Roman" w:cs="Times New Roman" w:eastAsia="Times New Roman" w:hAnsi="Times New Roman"/>
          <w:b/>
          <w:bCs/>
          <w:sz w:val="28"/>
          <w:szCs w:val="28"/>
        </w:rPr>
        <w:t xml:space="preserve">6.1 Environment Setup</w:t>
      </w:r>
    </w:p>
    <w:p>
      <w:pPr>
        <w:spacing w:after="0" w:line="360" w:lineRule="auto"/>
        <w:ind w:firstLine="709"/>
        <w:jc w:val="both"/>
      </w:pPr>
      <w:r>
        <w:rPr>
          <w:rFonts w:ascii="Times New Roman" w:cs="Times New Roman" w:eastAsia="Times New Roman" w:hAnsi="Times New Roman"/>
          <w:sz w:val="28"/>
          <w:szCs w:val="28"/>
        </w:rPr>
        <w:t xml:space="preserve">Create a Python virtual environment and install the dependencies:</w:t>
      </w:r>
    </w:p>
    <w:p>
      <w:pPr>
        <w:spacing w:after="0" w:line="240" w:lineRule="auto"/>
        <w:ind w:left="709"/>
        <w:jc w:val="left"/>
      </w:pPr>
      <w:r>
        <w:rPr>
          <w:rFonts w:ascii="Courier New" w:cs="Courier New" w:eastAsia="Courier New" w:hAnsi="Courier New"/>
          <w:sz w:val="20"/>
          <w:szCs w:val="20"/>
        </w:rPr>
        <w:t xml:space="preserve">python3 -m venv .venv</w:t>
      </w:r>
    </w:p>
    <w:p>
      <w:pPr>
        <w:spacing w:after="0" w:line="240" w:lineRule="auto"/>
        <w:ind w:left="709"/>
        <w:jc w:val="left"/>
      </w:pPr>
      <w:r>
        <w:rPr>
          <w:rFonts w:ascii="Courier New" w:cs="Courier New" w:eastAsia="Courier New" w:hAnsi="Courier New"/>
          <w:sz w:val="20"/>
          <w:szCs w:val="20"/>
        </w:rPr>
        <w:t xml:space="preserve">source .venv/bin/activate</w:t>
      </w:r>
    </w:p>
    <w:p>
      <w:pPr>
        <w:spacing w:after="0" w:line="240" w:lineRule="auto"/>
        <w:ind w:left="709"/>
        <w:jc w:val="left"/>
      </w:pPr>
      <w:r>
        <w:rPr>
          <w:rFonts w:ascii="Courier New" w:cs="Courier New" w:eastAsia="Courier New" w:hAnsi="Courier New"/>
          <w:sz w:val="20"/>
          <w:szCs w:val="20"/>
        </w:rPr>
        <w:t xml:space="preserve">pip install -r requirements.txt</w:t>
      </w:r>
    </w:p>
    <w:p>
      <w:pPr>
        <w:spacing w:after="0" w:line="240" w:lineRule="auto"/>
      </w:pPr>
      <w:r>
        <w:rPr>
          <w:sz w:val="16"/>
          <w:szCs w:val="16"/>
        </w:rPr>
        <w:t xml:space="preserve"/>
      </w:r>
    </w:p>
    <w:p>
      <w:pPr>
        <w:pStyle w:val="Heading2"/>
      </w:pPr>
      <w:r>
        <w:rPr>
          <w:rFonts w:ascii="Times New Roman" w:cs="Times New Roman" w:eastAsia="Times New Roman" w:hAnsi="Times New Roman"/>
          <w:b/>
          <w:bCs/>
          <w:sz w:val="28"/>
          <w:szCs w:val="28"/>
        </w:rPr>
        <w:t xml:space="preserve">6.2 Building the Dataset from the Customer's Exports</w:t>
      </w:r>
    </w:p>
    <w:p>
      <w:pPr>
        <w:spacing w:after="0" w:line="360" w:lineRule="auto"/>
        <w:ind w:firstLine="709"/>
        <w:jc w:val="both"/>
      </w:pPr>
      <w:r>
        <w:rPr>
          <w:rFonts w:ascii="Times New Roman" w:cs="Times New Roman" w:eastAsia="Times New Roman" w:hAnsi="Times New Roman"/>
          <w:sz w:val="28"/>
          <w:szCs w:val="28"/>
        </w:rPr>
        <w:t xml:space="preserve">Bring the tabular exports to a common 5-minute grid and parameter set. The input is the summary labeling table and the export directories; the output is datasets in the db/ directory:</w:t>
      </w:r>
    </w:p>
    <w:p>
      <w:pPr>
        <w:spacing w:after="0" w:line="240" w:lineRule="auto"/>
        <w:ind w:left="709"/>
        <w:jc w:val="left"/>
      </w:pPr>
      <w:r>
        <w:rPr>
          <w:rFonts w:ascii="Courier New" w:cs="Courier New" w:eastAsia="Courier New" w:hAnsi="Courier New"/>
          <w:sz w:val="20"/>
          <w:szCs w:val="20"/>
        </w:rPr>
        <w:t xml:space="preserve">python scripts/datasets/build_combined_summary_datasets.py \</w:t>
      </w:r>
    </w:p>
    <w:p>
      <w:pPr>
        <w:spacing w:after="0" w:line="240" w:lineRule="auto"/>
        <w:ind w:left="709"/>
        <w:jc w:val="left"/>
      </w:pPr>
      <w:r>
        <w:rPr>
          <w:rFonts w:ascii="Courier New" w:cs="Courier New" w:eastAsia="Courier New" w:hAnsi="Courier New"/>
          <w:sz w:val="20"/>
          <w:szCs w:val="20"/>
        </w:rPr>
        <w:t xml:space="preserve">    --summary data/reference/&lt;summary&gt;.xlsx \</w:t>
      </w:r>
    </w:p>
    <w:p>
      <w:pPr>
        <w:spacing w:after="0" w:line="240" w:lineRule="auto"/>
        <w:ind w:left="709"/>
        <w:jc w:val="left"/>
      </w:pPr>
      <w:r>
        <w:rPr>
          <w:rFonts w:ascii="Courier New" w:cs="Courier New" w:eastAsia="Courier New" w:hAnsi="Courier New"/>
          <w:sz w:val="20"/>
          <w:szCs w:val="20"/>
        </w:rPr>
        <w:t xml:space="preserve">    --freq 5min</w:t>
      </w:r>
    </w:p>
    <w:p>
      <w:pPr>
        <w:spacing w:after="0" w:line="240" w:lineRule="auto"/>
        <w:ind w:left="709"/>
        <w:jc w:val="left"/>
      </w:pPr>
      <w:r>
        <w:rPr>
          <w:rFonts w:ascii="Courier New" w:cs="Courier New" w:eastAsia="Courier New" w:hAnsi="Courier New"/>
          <w:sz w:val="20"/>
          <w:szCs w:val="20"/>
        </w:rPr>
        <w:t xml:space="preserve"> </w:t>
      </w:r>
    </w:p>
    <w:p>
      <w:pPr>
        <w:spacing w:after="0" w:line="240" w:lineRule="auto"/>
        <w:ind w:left="709"/>
        <w:jc w:val="left"/>
      </w:pPr>
      <w:r>
        <w:rPr>
          <w:rFonts w:ascii="Courier New" w:cs="Courier New" w:eastAsia="Courier New" w:hAnsi="Courier New"/>
          <w:sz w:val="20"/>
          <w:szCs w:val="20"/>
        </w:rPr>
        <w:t xml:space="preserve"># result:</w:t>
      </w:r>
    </w:p>
    <w:p>
      <w:pPr>
        <w:spacing w:after="0" w:line="240" w:lineRule="auto"/>
        <w:ind w:left="709"/>
        <w:jc w:val="left"/>
      </w:pPr>
      <w:r>
        <w:rPr>
          <w:rFonts w:ascii="Courier New" w:cs="Courier New" w:eastAsia="Courier New" w:hAnsi="Courier New"/>
          <w:sz w:val="20"/>
          <w:szCs w:val="20"/>
        </w:rPr>
        <w:t xml:space="preserve">#   db/pritok_anomaly_database_5min.parquet,  db/pritok_intervals.parquet</w:t>
      </w:r>
    </w:p>
    <w:p>
      <w:pPr>
        <w:spacing w:after="0" w:line="240" w:lineRule="auto"/>
        <w:ind w:left="709"/>
        <w:jc w:val="left"/>
      </w:pPr>
      <w:r>
        <w:rPr>
          <w:rFonts w:ascii="Courier New" w:cs="Courier New" w:eastAsia="Courier New" w:hAnsi="Courier New"/>
          <w:sz w:val="20"/>
          <w:szCs w:val="20"/>
        </w:rPr>
        <w:t xml:space="preserve">#   db/negermet_anomaly_database_5min.parquet, db/negermet_intervals.parquet</w:t>
      </w:r>
    </w:p>
    <w:p>
      <w:pPr>
        <w:spacing w:after="0" w:line="240" w:lineRule="auto"/>
        <w:ind w:left="709"/>
        <w:jc w:val="left"/>
      </w:pPr>
      <w:r>
        <w:rPr>
          <w:rFonts w:ascii="Courier New" w:cs="Courier New" w:eastAsia="Courier New" w:hAnsi="Courier New"/>
          <w:sz w:val="20"/>
          <w:szCs w:val="20"/>
        </w:rPr>
        <w:t xml:space="preserve">#   db/norm_work_database_5min.parquet</w:t>
      </w:r>
    </w:p>
    <w:p>
      <w:pPr>
        <w:spacing w:after="0" w:line="240" w:lineRule="auto"/>
      </w:pPr>
      <w:r>
        <w:rPr>
          <w:sz w:val="16"/>
          <w:szCs w:val="16"/>
        </w:rPr>
        <w:t xml:space="preserve"/>
      </w:r>
    </w:p>
    <w:p>
      <w:pPr>
        <w:pStyle w:val="Heading2"/>
      </w:pPr>
      <w:r>
        <w:rPr>
          <w:rFonts w:ascii="Times New Roman" w:cs="Times New Roman" w:eastAsia="Times New Roman" w:hAnsi="Times New Roman"/>
          <w:b/>
          <w:bCs/>
          <w:sz w:val="28"/>
          <w:szCs w:val="28"/>
        </w:rPr>
        <w:t xml:space="preserve">6.3 Training the Normality Reference (If Retraining Is Required)</w:t>
      </w:r>
    </w:p>
    <w:p>
      <w:pPr>
        <w:spacing w:after="0" w:line="360" w:lineRule="auto"/>
        <w:ind w:firstLine="709"/>
        <w:jc w:val="both"/>
      </w:pPr>
      <w:r>
        <w:rPr>
          <w:rFonts w:ascii="Times New Roman" w:cs="Times New Roman" w:eastAsia="Times New Roman" w:hAnsi="Times New Roman"/>
          <w:sz w:val="28"/>
          <w:szCs w:val="28"/>
        </w:rPr>
        <w:t xml:space="preserve">Trained models are included in the delivery package. The normality reference can be retrained for the target class with the command:</w:t>
      </w:r>
    </w:p>
    <w:p>
      <w:pPr>
        <w:spacing w:after="0" w:line="240" w:lineRule="auto"/>
        <w:ind w:left="709"/>
        <w:jc w:val="left"/>
      </w:pPr>
      <w:r>
        <w:rPr>
          <w:rFonts w:ascii="Courier New" w:cs="Courier New" w:eastAsia="Courier New" w:hAnsi="Courier New"/>
          <w:sz w:val="20"/>
          <w:szCs w:val="20"/>
        </w:rPr>
        <w:t xml:space="preserve">python scripts/utils/build_population_memory_bank.py \</w:t>
      </w:r>
    </w:p>
    <w:p>
      <w:pPr>
        <w:spacing w:after="0" w:line="240" w:lineRule="auto"/>
        <w:ind w:left="709"/>
        <w:jc w:val="left"/>
      </w:pPr>
      <w:r>
        <w:rPr>
          <w:rFonts w:ascii="Courier New" w:cs="Courier New" w:eastAsia="Courier New" w:hAnsi="Courier New"/>
          <w:sz w:val="20"/>
          <w:szCs w:val="20"/>
        </w:rPr>
        <w:t xml:space="preserve">    --detector paano_global --anomaly pritok      # or --anomaly negermet</w:t>
      </w:r>
    </w:p>
    <w:p>
      <w:pPr>
        <w:spacing w:after="0" w:line="240" w:lineRule="auto"/>
        <w:ind w:left="709"/>
        <w:jc w:val="left"/>
      </w:pPr>
      <w:r>
        <w:rPr>
          <w:rFonts w:ascii="Courier New" w:cs="Courier New" w:eastAsia="Courier New" w:hAnsi="Courier New"/>
          <w:sz w:val="20"/>
          <w:szCs w:val="20"/>
        </w:rPr>
        <w:t xml:space="preserve"> </w:t>
      </w:r>
    </w:p>
    <w:p>
      <w:pPr>
        <w:spacing w:after="0" w:line="240" w:lineRule="auto"/>
        <w:ind w:left="709"/>
        <w:jc w:val="left"/>
      </w:pPr>
      <w:r>
        <w:rPr>
          <w:rFonts w:ascii="Courier New" w:cs="Courier New" w:eastAsia="Courier New" w:hAnsi="Courier New"/>
          <w:sz w:val="20"/>
          <w:szCs w:val="20"/>
        </w:rPr>
        <w:t xml:space="preserve"># result (models/ directory):</w:t>
      </w:r>
    </w:p>
    <w:p>
      <w:pPr>
        <w:spacing w:after="0" w:line="240" w:lineRule="auto"/>
        <w:ind w:left="709"/>
        <w:jc w:val="left"/>
      </w:pPr>
      <w:r>
        <w:rPr>
          <w:rFonts w:ascii="Courier New" w:cs="Courier New" w:eastAsia="Courier New" w:hAnsi="Courier New"/>
          <w:sz w:val="20"/>
          <w:szCs w:val="20"/>
        </w:rPr>
        <w:t xml:space="preserve">#   global_normality_paano_shared_encoder.&lt;class&gt;.pt</w:t>
      </w:r>
    </w:p>
    <w:p>
      <w:pPr>
        <w:spacing w:after="0" w:line="240" w:lineRule="auto"/>
        <w:ind w:left="709"/>
        <w:jc w:val="left"/>
      </w:pPr>
      <w:r>
        <w:rPr>
          <w:rFonts w:ascii="Courier New" w:cs="Courier New" w:eastAsia="Courier New" w:hAnsi="Courier New"/>
          <w:sz w:val="20"/>
          <w:szCs w:val="20"/>
        </w:rPr>
        <w:t xml:space="preserve">#   population_memory_bank_paano_global_global_normality.&lt;class&gt;.npz</w:t>
      </w:r>
    </w:p>
    <w:p>
      <w:pPr>
        <w:spacing w:after="0" w:line="240" w:lineRule="auto"/>
      </w:pPr>
      <w:r>
        <w:rPr>
          <w:sz w:val="16"/>
          <w:szCs w:val="16"/>
        </w:rPr>
        <w:t xml:space="preserve"/>
      </w:r>
    </w:p>
    <w:p>
      <w:pPr>
        <w:pStyle w:val="Heading2"/>
      </w:pPr>
      <w:r>
        <w:rPr>
          <w:rFonts w:ascii="Times New Roman" w:cs="Times New Roman" w:eastAsia="Times New Roman" w:hAnsi="Times New Roman"/>
          <w:b/>
          <w:bCs/>
          <w:sz w:val="28"/>
          <w:szCs w:val="28"/>
        </w:rPr>
        <w:t xml:space="preserve">6.4 Detection on Labeled Wells</w:t>
      </w:r>
    </w:p>
    <w:p>
      <w:pPr>
        <w:spacing w:after="0" w:line="240" w:lineRule="auto"/>
        <w:ind w:left="709"/>
        <w:jc w:val="left"/>
      </w:pPr>
      <w:r>
        <w:rPr>
          <w:rFonts w:ascii="Courier New" w:cs="Courier New" w:eastAsia="Courier New" w:hAnsi="Courier New"/>
          <w:sz w:val="20"/>
          <w:szCs w:val="20"/>
        </w:rPr>
        <w:t xml:space="preserve">python scripts/detection/detect_pritok.py   --detector paano_global</w:t>
      </w:r>
    </w:p>
    <w:p>
      <w:pPr>
        <w:spacing w:after="0" w:line="240" w:lineRule="auto"/>
        <w:ind w:left="709"/>
        <w:jc w:val="left"/>
      </w:pPr>
      <w:r>
        <w:rPr>
          <w:rFonts w:ascii="Courier New" w:cs="Courier New" w:eastAsia="Courier New" w:hAnsi="Courier New"/>
          <w:sz w:val="20"/>
          <w:szCs w:val="20"/>
        </w:rPr>
        <w:t xml:space="preserve">python scripts/detection/detect_negermet.py --detector paano_global</w:t>
      </w:r>
    </w:p>
    <w:p>
      <w:pPr>
        <w:spacing w:after="0" w:line="240" w:lineRule="auto"/>
      </w:pPr>
      <w:r>
        <w:rPr>
          <w:sz w:val="16"/>
          <w:szCs w:val="16"/>
        </w:rPr>
        <w:t xml:space="preserve"/>
      </w:r>
    </w:p>
    <w:p>
      <w:pPr>
        <w:pStyle w:val="Heading2"/>
      </w:pPr>
      <w:r>
        <w:rPr>
          <w:rFonts w:ascii="Times New Roman" w:cs="Times New Roman" w:eastAsia="Times New Roman" w:hAnsi="Times New Roman"/>
          <w:b/>
          <w:bCs/>
          <w:sz w:val="28"/>
          <w:szCs w:val="28"/>
        </w:rPr>
        <w:t xml:space="preserve">6.5 Detection on New Wells (Blind Run over an Export Directory)</w:t>
      </w:r>
    </w:p>
    <w:p>
      <w:pPr>
        <w:spacing w:after="0" w:line="360" w:lineRule="auto"/>
        <w:ind w:firstLine="709"/>
        <w:jc w:val="both"/>
      </w:pPr>
      <w:r>
        <w:rPr>
          <w:rFonts w:ascii="Times New Roman" w:cs="Times New Roman" w:eastAsia="Times New Roman" w:hAnsi="Times New Roman"/>
          <w:sz w:val="28"/>
          <w:szCs w:val="28"/>
        </w:rPr>
        <w:t xml:space="preserve">Place the exports (one file per well) in a directory and run batch detection for the required anomaly type. The appropriate pair of models is selected automatically by type:</w:t>
      </w:r>
    </w:p>
    <w:p>
      <w:pPr>
        <w:spacing w:after="0" w:line="240" w:lineRule="auto"/>
        <w:ind w:left="709"/>
        <w:jc w:val="left"/>
      </w:pPr>
      <w:r>
        <w:rPr>
          <w:rFonts w:ascii="Courier New" w:cs="Courier New" w:eastAsia="Courier New" w:hAnsi="Courier New"/>
          <w:sz w:val="20"/>
          <w:szCs w:val="20"/>
        </w:rPr>
        <w:t xml:space="preserve">python scripts/detection/detect_test_wells_batch.py \</w:t>
      </w:r>
    </w:p>
    <w:p>
      <w:pPr>
        <w:spacing w:after="0" w:line="240" w:lineRule="auto"/>
        <w:ind w:left="709"/>
        <w:jc w:val="left"/>
      </w:pPr>
      <w:r>
        <w:rPr>
          <w:rFonts w:ascii="Courier New" w:cs="Courier New" w:eastAsia="Courier New" w:hAnsi="Courier New"/>
          <w:sz w:val="20"/>
          <w:szCs w:val="20"/>
        </w:rPr>
        <w:t xml:space="preserve">    --xlsx-dir   data/raw/&lt;exports_dir&gt; \</w:t>
      </w:r>
    </w:p>
    <w:p>
      <w:pPr>
        <w:spacing w:after="0" w:line="240" w:lineRule="auto"/>
        <w:ind w:left="709"/>
        <w:jc w:val="left"/>
      </w:pPr>
      <w:r>
        <w:rPr>
          <w:rFonts w:ascii="Courier New" w:cs="Courier New" w:eastAsia="Courier New" w:hAnsi="Courier New"/>
          <w:sz w:val="20"/>
          <w:szCs w:val="20"/>
        </w:rPr>
        <w:t xml:space="preserve">    --output-root artifacts/&lt;run_name&gt; \</w:t>
      </w:r>
    </w:p>
    <w:p>
      <w:pPr>
        <w:spacing w:after="0" w:line="240" w:lineRule="auto"/>
        <w:ind w:left="709"/>
        <w:jc w:val="left"/>
      </w:pPr>
      <w:r>
        <w:rPr>
          <w:rFonts w:ascii="Courier New" w:cs="Courier New" w:eastAsia="Courier New" w:hAnsi="Courier New"/>
          <w:sz w:val="20"/>
          <w:szCs w:val="20"/>
        </w:rPr>
        <w:t xml:space="preserve">    --detector   paano_global \</w:t>
      </w:r>
    </w:p>
    <w:p>
      <w:pPr>
        <w:spacing w:after="0" w:line="240" w:lineRule="auto"/>
        <w:ind w:left="709"/>
        <w:jc w:val="left"/>
      </w:pPr>
      <w:r>
        <w:rPr>
          <w:rFonts w:ascii="Courier New" w:cs="Courier New" w:eastAsia="Courier New" w:hAnsi="Courier New"/>
          <w:sz w:val="20"/>
          <w:szCs w:val="20"/>
        </w:rPr>
        <w:t xml:space="preserve">    --anomalies  pritok \          # or negermet</w:t>
      </w:r>
    </w:p>
    <w:p>
      <w:pPr>
        <w:spacing w:after="0" w:line="240" w:lineRule="auto"/>
        <w:ind w:left="709"/>
        <w:jc w:val="left"/>
      </w:pPr>
      <w:r>
        <w:rPr>
          <w:rFonts w:ascii="Courier New" w:cs="Courier New" w:eastAsia="Courier New" w:hAnsi="Courier New"/>
          <w:sz w:val="20"/>
          <w:szCs w:val="20"/>
        </w:rPr>
        <w:t xml:space="preserve">    --use-population-memory-bank</w:t>
      </w:r>
    </w:p>
    <w:p>
      <w:pPr>
        <w:spacing w:after="0" w:line="240" w:lineRule="auto"/>
        <w:ind w:left="709"/>
        <w:jc w:val="left"/>
      </w:pPr>
      <w:r>
        <w:rPr>
          <w:rFonts w:ascii="Courier New" w:cs="Courier New" w:eastAsia="Courier New" w:hAnsi="Courier New"/>
          <w:sz w:val="20"/>
          <w:szCs w:val="20"/>
        </w:rPr>
        <w:t xml:space="preserve"> </w:t>
      </w:r>
    </w:p>
    <w:p>
      <w:pPr>
        <w:spacing w:after="0" w:line="240" w:lineRule="auto"/>
        <w:ind w:left="709"/>
        <w:jc w:val="left"/>
      </w:pPr>
      <w:r>
        <w:rPr>
          <w:rFonts w:ascii="Courier New" w:cs="Courier New" w:eastAsia="Courier New" w:hAnsi="Courier New"/>
          <w:sz w:val="20"/>
          <w:szCs w:val="20"/>
        </w:rPr>
        <w:t xml:space="preserve"># result per well:</w:t>
      </w:r>
    </w:p>
    <w:p>
      <w:pPr>
        <w:spacing w:after="0" w:line="240" w:lineRule="auto"/>
        <w:ind w:left="709"/>
        <w:jc w:val="left"/>
      </w:pPr>
      <w:r>
        <w:rPr>
          <w:rFonts w:ascii="Courier New" w:cs="Courier New" w:eastAsia="Courier New" w:hAnsi="Courier New"/>
          <w:sz w:val="20"/>
          <w:szCs w:val="20"/>
        </w:rPr>
        <w:t xml:space="preserve">#   artifacts/&lt;run_name&gt;/&lt;well&gt;/&lt;type&gt;/summary.json (presence and onset of the anomaly)</w:t>
      </w:r>
    </w:p>
    <w:p>
      <w:pPr>
        <w:spacing w:after="0" w:line="240" w:lineRule="auto"/>
        <w:ind w:left="709"/>
        <w:jc w:val="left"/>
      </w:pPr>
      <w:r>
        <w:rPr>
          <w:rFonts w:ascii="Courier New" w:cs="Courier New" w:eastAsia="Courier New" w:hAnsi="Courier New"/>
          <w:sz w:val="20"/>
          <w:szCs w:val="20"/>
        </w:rPr>
        <w:t xml:space="preserve">#   ... scores.parquet, predicted_starts.parquet, source.parquet</w:t>
      </w:r>
    </w:p>
    <w:p>
      <w:pPr>
        <w:spacing w:after="0" w:line="240" w:lineRule="auto"/>
      </w:pPr>
      <w:r>
        <w:rPr>
          <w:sz w:val="16"/>
          <w:szCs w:val="16"/>
        </w:rPr>
        <w:t xml:space="preserve"/>
      </w:r>
    </w:p>
    <w:p>
      <w:pPr>
        <w:spacing w:after="0" w:line="360" w:lineRule="auto"/>
        <w:ind w:firstLine="709"/>
        <w:jc w:val="both"/>
      </w:pPr>
      <w:r>
        <w:rPr>
          <w:rFonts w:ascii="Times New Roman" w:cs="Times New Roman" w:eastAsia="Times New Roman" w:hAnsi="Times New Roman"/>
          <w:sz w:val="28"/>
          <w:szCs w:val="28"/>
        </w:rPr>
        <w:t xml:space="preserve">Detection for a single well can be run directly:</w:t>
      </w:r>
    </w:p>
    <w:p>
      <w:pPr>
        <w:spacing w:after="0" w:line="240" w:lineRule="auto"/>
        <w:ind w:left="709"/>
        <w:jc w:val="left"/>
      </w:pPr>
      <w:r>
        <w:rPr>
          <w:rFonts w:ascii="Courier New" w:cs="Courier New" w:eastAsia="Courier New" w:hAnsi="Courier New"/>
          <w:sz w:val="20"/>
          <w:szCs w:val="20"/>
        </w:rPr>
        <w:t xml:space="preserve">python scripts/detection/detect_negermet.py --well 524 --detector paano_global</w:t>
      </w:r>
    </w:p>
    <w:p>
      <w:pPr>
        <w:spacing w:after="0" w:line="240" w:lineRule="auto"/>
      </w:pPr>
      <w:r>
        <w:rPr>
          <w:sz w:val="16"/>
          <w:szCs w:val="16"/>
        </w:rPr>
        <w:t xml:space="preserve"/>
      </w:r>
    </w:p>
    <w:p>
      <w:pPr>
        <w:pStyle w:val="Heading2"/>
      </w:pPr>
      <w:r>
        <w:rPr>
          <w:rFonts w:ascii="Times New Roman" w:cs="Times New Roman" w:eastAsia="Times New Roman" w:hAnsi="Times New Roman"/>
          <w:b/>
          <w:bCs/>
          <w:sz w:val="28"/>
          <w:szCs w:val="28"/>
        </w:rPr>
        <w:t xml:space="preserve">6.6 Report Generation</w:t>
      </w:r>
    </w:p>
    <w:p>
      <w:pPr>
        <w:spacing w:after="0" w:line="240" w:lineRule="auto"/>
        <w:ind w:left="709"/>
        <w:jc w:val="left"/>
      </w:pPr>
      <w:r>
        <w:rPr>
          <w:rFonts w:ascii="Courier New" w:cs="Courier New" w:eastAsia="Courier New" w:hAnsi="Courier New"/>
          <w:sz w:val="20"/>
          <w:szCs w:val="20"/>
        </w:rPr>
        <w:t xml:space="preserve">python scripts/reports/generate_test_wells_report.py \</w:t>
      </w:r>
    </w:p>
    <w:p>
      <w:pPr>
        <w:spacing w:after="0" w:line="240" w:lineRule="auto"/>
        <w:ind w:left="709"/>
        <w:jc w:val="left"/>
      </w:pPr>
      <w:r>
        <w:rPr>
          <w:rFonts w:ascii="Courier New" w:cs="Courier New" w:eastAsia="Courier New" w:hAnsi="Courier New"/>
          <w:sz w:val="20"/>
          <w:szCs w:val="20"/>
        </w:rPr>
        <w:t xml:space="preserve">    --batch-dir artifacts/&lt;run_name&gt; \</w:t>
      </w:r>
    </w:p>
    <w:p>
      <w:pPr>
        <w:spacing w:after="0" w:line="240" w:lineRule="auto"/>
        <w:ind w:left="709"/>
        <w:jc w:val="left"/>
      </w:pPr>
      <w:r>
        <w:rPr>
          <w:rFonts w:ascii="Courier New" w:cs="Courier New" w:eastAsia="Courier New" w:hAnsi="Courier New"/>
          <w:sz w:val="20"/>
          <w:szCs w:val="20"/>
        </w:rPr>
        <w:t xml:space="preserve">    --anomalies pritok \</w:t>
      </w:r>
    </w:p>
    <w:p>
      <w:pPr>
        <w:spacing w:after="0" w:line="240" w:lineRule="auto"/>
        <w:ind w:left="709"/>
        <w:jc w:val="left"/>
      </w:pPr>
      <w:r>
        <w:rPr>
          <w:rFonts w:ascii="Courier New" w:cs="Courier New" w:eastAsia="Courier New" w:hAnsi="Courier New"/>
          <w:sz w:val="20"/>
          <w:szCs w:val="20"/>
        </w:rPr>
        <w:t xml:space="preserve">    --output    artifacts/reports/&lt;name&gt;.html</w:t>
      </w:r>
    </w:p>
    <w:p>
      <w:pPr>
        <w:spacing w:after="0" w:line="240" w:lineRule="auto"/>
      </w:pPr>
      <w:r>
        <w:rPr>
          <w:sz w:val="16"/>
          <w:szCs w:val="16"/>
        </w:rPr>
        <w:t xml:space="preserve"/>
      </w:r>
    </w:p>
    <w:p>
      <w:pPr>
        <w:pStyle w:val="Heading1"/>
      </w:pPr>
      <w:r>
        <w:rPr>
          <w:rFonts w:ascii="Times New Roman" w:cs="Times New Roman" w:eastAsia="Times New Roman" w:hAnsi="Times New Roman"/>
          <w:b/>
          <w:bCs/>
          <w:sz w:val="28"/>
          <w:szCs w:val="28"/>
        </w:rPr>
        <w:t xml:space="preserve">7 Test Results and Quality Metrics (clause 3.5)</w:t>
      </w:r>
    </w:p>
    <w:p>
      <w:pPr>
        <w:pStyle w:val="Heading2"/>
      </w:pPr>
      <w:r>
        <w:rPr>
          <w:rFonts w:ascii="Times New Roman" w:cs="Times New Roman" w:eastAsia="Times New Roman" w:hAnsi="Times New Roman"/>
          <w:b/>
          <w:bCs/>
          <w:sz w:val="28"/>
          <w:szCs w:val="28"/>
        </w:rPr>
        <w:t xml:space="preserve">7.1 Methodology and Metric Definitions</w:t>
      </w:r>
    </w:p>
    <w:p>
      <w:pPr>
        <w:spacing w:after="0" w:line="360" w:lineRule="auto"/>
        <w:ind w:firstLine="709"/>
        <w:jc w:val="both"/>
      </w:pPr>
      <w:r>
        <w:rPr>
          <w:rFonts w:ascii="Times New Roman" w:cs="Times New Roman" w:eastAsia="Times New Roman" w:hAnsi="Times New Roman"/>
          <w:sz w:val="28"/>
          <w:szCs w:val="28"/>
        </w:rPr>
        <w:t xml:space="preserve">Detection recall — the share of labeled anomalous intervals for which the model produced a trigger within the interval. False-alarm rate — the number of triggers in the normal zone, normalized to one day. Detection delay — the time difference between the moment marked by the model and the expert-labeled anomaly onset (for inflow) or the pressure-step moment (for tubing leak). Blind test — evaluation on wells the model did not use during training (it "sees" them for the first time).</w:t>
      </w:r>
    </w:p>
    <w:p>
      <w:pPr>
        <w:pStyle w:val="Heading2"/>
      </w:pPr>
      <w:r>
        <w:rPr>
          <w:rFonts w:ascii="Times New Roman" w:cs="Times New Roman" w:eastAsia="Times New Roman" w:hAnsi="Times New Roman"/>
          <w:b/>
          <w:bCs/>
          <w:sz w:val="28"/>
          <w:szCs w:val="28"/>
        </w:rPr>
        <w:t xml:space="preserve">7.2 Blind Test on the Customer's Data</w:t>
      </w:r>
    </w:p>
    <w:p>
      <w:pPr>
        <w:spacing w:after="0" w:line="360" w:lineRule="auto"/>
        <w:ind w:firstLine="709"/>
        <w:jc w:val="both"/>
      </w:pPr>
      <w:r>
        <w:rPr>
          <w:rFonts w:ascii="Times New Roman" w:cs="Times New Roman" w:eastAsia="Times New Roman" w:hAnsi="Times New Roman"/>
          <w:sz w:val="28"/>
          <w:szCs w:val="28"/>
        </w:rPr>
        <w:t xml:space="preserve">Evaluation on wells not used in training: 7 inflow wells (inflow is present in 6 of them; well 590 has no anomaly) and 1 tubing-leak well. The anomaly was detected in every well that has one; on the normal well 590 there are no false alarms.</w:t>
      </w:r>
    </w:p>
    <w:p>
      <w:pPr>
        <w:spacing w:after="60" w:before="160" w:line="360" w:lineRule="auto"/>
        <w:jc w:val="left"/>
      </w:pPr>
      <w:r>
        <w:rPr>
          <w:rFonts w:ascii="Times New Roman" w:cs="Times New Roman" w:eastAsia="Times New Roman" w:hAnsi="Times New Roman"/>
          <w:sz w:val="28"/>
          <w:szCs w:val="28"/>
        </w:rPr>
        <w:t xml:space="preserve">Table 7 — Blind-Test Results on the Customer's Data</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5"/>
        <w:gridCol w:w="1100"/>
        <w:gridCol w:w="1300"/>
        <w:gridCol w:w="1300"/>
        <w:gridCol w:w="1100"/>
        <w:gridCol w:w="1800"/>
      </w:tblGrid>
      <w:tr>
        <w:trPr>
          <w:tblHeader/>
        </w:trPr>
        <w:tc>
          <w:tcPr>
            <w:tcW w:type="dxa" w:w="27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Anomaly type</w:t>
            </w:r>
          </w:p>
        </w:tc>
        <w:tc>
          <w:tcPr>
            <w:tcW w:type="dxa" w:w="11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Wells</w:t>
            </w:r>
          </w:p>
        </w:tc>
        <w:tc>
          <w:tcPr>
            <w:tcW w:type="dxa" w:w="13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With anomaly</w:t>
            </w:r>
          </w:p>
        </w:tc>
        <w:tc>
          <w:tcPr>
            <w:tcW w:type="dxa" w:w="13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Detected</w:t>
            </w:r>
          </w:p>
        </w:tc>
        <w:tc>
          <w:tcPr>
            <w:tcW w:type="dxa" w:w="11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Recall</w:t>
            </w:r>
          </w:p>
        </w:tc>
        <w:tc>
          <w:tcPr>
            <w:tcW w:type="dxa" w:w="18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False alarms</w:t>
            </w:r>
          </w:p>
        </w:tc>
      </w:tr>
      <w:tr>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Inflow</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0</w:t>
            </w:r>
          </w:p>
        </w:tc>
      </w:tr>
      <w:tr>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Tubing leak</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0</w:t>
            </w:r>
          </w:p>
        </w:tc>
      </w:tr>
    </w:tbl>
    <w:p>
      <w:pPr>
        <w:spacing w:after="0" w:line="240" w:lineRule="auto"/>
      </w:pPr>
      <w:r>
        <w:rPr>
          <w:sz w:val="16"/>
          <w:szCs w:val="16"/>
        </w:rPr>
        <w:t xml:space="preserve"/>
      </w:r>
    </w:p>
    <w:p>
      <w:pPr>
        <w:spacing w:after="0" w:line="360" w:lineRule="auto"/>
        <w:ind w:firstLine="709"/>
        <w:jc w:val="both"/>
      </w:pPr>
      <w:r>
        <w:rPr>
          <w:rFonts w:ascii="Times New Roman" w:cs="Times New Roman" w:eastAsia="Times New Roman" w:hAnsi="Times New Roman"/>
          <w:sz w:val="28"/>
          <w:szCs w:val="28"/>
        </w:rPr>
        <w:t xml:space="preserve">Detected anomaly onset times for the blind-test wells:</w:t>
      </w:r>
    </w:p>
    <w:p>
      <w:pPr>
        <w:spacing w:after="60" w:before="160" w:line="360" w:lineRule="auto"/>
        <w:jc w:val="left"/>
      </w:pPr>
      <w:r>
        <w:rPr>
          <w:rFonts w:ascii="Times New Roman" w:cs="Times New Roman" w:eastAsia="Times New Roman" w:hAnsi="Times New Roman"/>
          <w:sz w:val="28"/>
          <w:szCs w:val="28"/>
        </w:rPr>
        <w:t xml:space="preserve">Table 8 — Detected Anomaly Onset Times for the Blind-Test Wells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355"/>
      </w:tblGrid>
      <w:tr>
        <w:trPr>
          <w:tblHeader/>
        </w:trPr>
        <w:tc>
          <w:tcPr>
            <w:tcW w:type="dxa" w:w="22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Well</w:t>
            </w:r>
          </w:p>
        </w:tc>
        <w:tc>
          <w:tcPr>
            <w:tcW w:type="dxa" w:w="28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Anomaly type</w:t>
            </w:r>
          </w:p>
        </w:tc>
        <w:tc>
          <w:tcPr>
            <w:tcW w:type="dxa" w:w="43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Result / onset time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42-713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Inflow</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2025-10-12</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42-723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Inflow</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2025-11-05</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45-790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Inflow</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2026-01-01</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46-806</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Inflow</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2025-12-29</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48-812</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Inflow</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2026-01-24</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1071</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Inflow</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2026-04-14</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590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Inflow</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no anomaly detected (pressure stable)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524</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Tubing leak</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2025-06-09 (pressure-step moment)</w:t>
            </w:r>
          </w:p>
        </w:tc>
      </w:tr>
    </w:tbl>
    <w:p>
      <w:pPr>
        <w:spacing w:after="0" w:line="240" w:lineRule="auto"/>
      </w:pPr>
      <w:r>
        <w:rPr>
          <w:sz w:val="16"/>
          <w:szCs w:val="16"/>
        </w:rPr>
        <w:t xml:space="preserve"/>
      </w:r>
    </w:p>
    <w:p>
      <w:pPr>
        <w:pStyle w:val="Heading2"/>
      </w:pPr>
      <w:r>
        <w:rPr>
          <w:rFonts w:ascii="Times New Roman" w:cs="Times New Roman" w:eastAsia="Times New Roman" w:hAnsi="Times New Roman"/>
          <w:b/>
          <w:bCs/>
          <w:sz w:val="28"/>
          <w:szCs w:val="28"/>
        </w:rPr>
        <w:t xml:space="preserve">7.3 Control Check on Labeled Data</w:t>
      </w:r>
    </w:p>
    <w:p>
      <w:pPr>
        <w:spacing w:after="0" w:line="360" w:lineRule="auto"/>
        <w:ind w:firstLine="709"/>
        <w:jc w:val="both"/>
      </w:pPr>
      <w:r>
        <w:rPr>
          <w:rFonts w:ascii="Times New Roman" w:cs="Times New Roman" w:eastAsia="Times New Roman" w:hAnsi="Times New Roman"/>
          <w:sz w:val="28"/>
          <w:szCs w:val="28"/>
        </w:rPr>
        <w:t xml:space="preserve">To assess robustness, the model was additionally evaluated on all expert-labeled intervals (with separate calibration against each well's reference).</w:t>
      </w:r>
    </w:p>
    <w:p>
      <w:pPr>
        <w:spacing w:after="60" w:before="160" w:line="360" w:lineRule="auto"/>
        <w:jc w:val="left"/>
      </w:pPr>
      <w:r>
        <w:rPr>
          <w:rFonts w:ascii="Times New Roman" w:cs="Times New Roman" w:eastAsia="Times New Roman" w:hAnsi="Times New Roman"/>
          <w:sz w:val="28"/>
          <w:szCs w:val="28"/>
        </w:rPr>
        <w:t xml:space="preserve">Table 9 — Control Check on Labeled Data</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5"/>
        <w:gridCol w:w="1200"/>
        <w:gridCol w:w="1200"/>
        <w:gridCol w:w="1100"/>
        <w:gridCol w:w="1300"/>
        <w:gridCol w:w="1200"/>
        <w:gridCol w:w="1200"/>
      </w:tblGrid>
      <w:tr>
        <w:trPr>
          <w:tblHeader/>
        </w:trPr>
        <w:tc>
          <w:tcPr>
            <w:tcW w:type="dxa" w:w="2155"/>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Anomaly type</w:t>
            </w:r>
          </w:p>
        </w:tc>
        <w:tc>
          <w:tcPr>
            <w:tcW w:type="dxa" w:w="12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Intervals</w:t>
            </w:r>
          </w:p>
        </w:tc>
        <w:tc>
          <w:tcPr>
            <w:tcW w:type="dxa" w:w="12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Detected</w:t>
            </w:r>
          </w:p>
        </w:tc>
        <w:tc>
          <w:tcPr>
            <w:tcW w:type="dxa" w:w="11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Recall</w:t>
            </w:r>
          </w:p>
        </w:tc>
        <w:tc>
          <w:tcPr>
            <w:tcW w:type="dxa" w:w="13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False alarms per day</w:t>
            </w:r>
          </w:p>
        </w:tc>
        <w:tc>
          <w:tcPr>
            <w:tcW w:type="dxa" w:w="12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Median delay</w:t>
            </w:r>
          </w:p>
        </w:tc>
        <w:tc>
          <w:tcPr>
            <w:tcW w:type="dxa" w:w="1200"/>
            <w:tcBorders>
              <w:top w:val="single" w:color="000000" w:sz="4"/>
              <w:left w:val="single" w:color="000000" w:sz="4"/>
              <w:bottom w:val="single" w:color="000000" w:sz="4"/>
              <w:right w:val="single" w:color="000000" w:sz="4"/>
            </w:tcBorders>
            <w:shd w:fill="EDEDED"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4"/>
                <w:szCs w:val="24"/>
              </w:rPr>
              <w:t xml:space="preserve">Delay (90th pct.)</w:t>
            </w:r>
          </w:p>
        </w:tc>
      </w:tr>
      <w:tr>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Inflow</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26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1.8 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5.0 h</w:t>
            </w:r>
          </w:p>
        </w:tc>
      </w:tr>
      <w:tr>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4"/>
                <w:szCs w:val="24"/>
              </w:rPr>
              <w:t xml:space="preserve">Tubing leak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0.25 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val="false"/>
                <w:bCs w:val="false"/>
                <w:sz w:val="24"/>
                <w:szCs w:val="24"/>
              </w:rPr>
              <w:t xml:space="preserve">13.6 h</w:t>
            </w:r>
          </w:p>
        </w:tc>
      </w:tr>
    </w:tbl>
    <w:p>
      <w:pPr>
        <w:spacing w:after="0" w:line="240" w:lineRule="auto"/>
      </w:pPr>
      <w:r>
        <w:rPr>
          <w:sz w:val="16"/>
          <w:szCs w:val="16"/>
        </w:rPr>
        <w:t xml:space="preserve"/>
      </w:r>
    </w:p>
    <w:p>
      <w:pPr>
        <w:spacing w:after="0" w:line="360" w:lineRule="auto"/>
        <w:ind w:firstLine="709"/>
        <w:jc w:val="both"/>
      </w:pPr>
      <w:r>
        <w:rPr>
          <w:rFonts w:ascii="Times New Roman" w:cs="Times New Roman" w:eastAsia="Times New Roman" w:hAnsi="Times New Roman"/>
          <w:sz w:val="28"/>
          <w:szCs w:val="28"/>
        </w:rPr>
        <w:t xml:space="preserve">For both types, 100% detection recall was achieved with a zero false-alarm rate. For inflow, the delay is measured relative to the expert-labeled trend onset; for tubing leak, the moment is placed directly at the pressure step.</w:t>
      </w:r>
    </w:p>
    <w:p>
      <w:pPr>
        <w:pStyle w:val="Heading2"/>
      </w:pPr>
      <w:r>
        <w:rPr>
          <w:rFonts w:ascii="Times New Roman" w:cs="Times New Roman" w:eastAsia="Times New Roman" w:hAnsi="Times New Roman"/>
          <w:b/>
          <w:bCs/>
          <w:sz w:val="28"/>
          <w:szCs w:val="28"/>
        </w:rPr>
        <w:t xml:space="preserve">7.4 Visualization of Results</w:t>
      </w:r>
    </w:p>
    <w:p>
      <w:pPr>
        <w:spacing w:after="0" w:line="360" w:lineRule="auto"/>
        <w:ind w:firstLine="709"/>
        <w:jc w:val="both"/>
      </w:pPr>
      <w:r>
        <w:rPr>
          <w:rFonts w:ascii="Times New Roman" w:cs="Times New Roman" w:eastAsia="Times New Roman" w:hAnsi="Times New Roman"/>
          <w:sz w:val="28"/>
          <w:szCs w:val="28"/>
        </w:rPr>
        <w:t xml:space="preserve">Below, for the blind-test wells, the telemetry is shown: (a) intake pressure and (b) output frequency. For wells with an anomaly, its onset is marked with a red dashed line and the anomaly zone is shaded; for the normal well 590, no anomaly was detected.</w:t>
      </w:r>
    </w:p>
    <w:p>
      <w:pPr>
        <w:spacing w:after="0" w:before="160" w:line="240" w:lineRule="auto"/>
        <w:jc w:val="center"/>
      </w:pPr>
      <w:r>
        <w:drawing>
          <wp:inline distT="0" distB="0" distL="0" distR="0">
            <wp:extent cx="5667375" cy="3076575"/>
            <wp:effectExtent t="0" r="0" b="0" l="0"/>
            <wp:docPr id="1" name="Figure 1 — Inflow, well 42-713" descr="Figure 1 — Inflow, well 42-713" title="Figure 1 — Inflow, well 4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1 — Inflow, well 42-713</w:t>
      </w:r>
    </w:p>
    <w:p>
      <w:pPr>
        <w:spacing w:after="0" w:before="160" w:line="240" w:lineRule="auto"/>
        <w:jc w:val="center"/>
      </w:pPr>
      <w:r>
        <w:drawing>
          <wp:inline distT="0" distB="0" distL="0" distR="0">
            <wp:extent cx="5667375" cy="3076575"/>
            <wp:effectExtent t="0" r="0" b="0" l="0"/>
            <wp:docPr id="1" name="Figure 2 — Inflow, well 42-723" descr="Figure 2 — Inflow, well 42-723" title="Figure 2 — Inflow, well 4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2 — Inflow, well 42-723</w:t>
      </w:r>
    </w:p>
    <w:p>
      <w:pPr>
        <w:spacing w:after="0" w:before="160" w:line="240" w:lineRule="auto"/>
        <w:jc w:val="center"/>
      </w:pPr>
      <w:r>
        <w:drawing>
          <wp:inline distT="0" distB="0" distL="0" distR="0">
            <wp:extent cx="5667375" cy="3076575"/>
            <wp:effectExtent t="0" r="0" b="0" l="0"/>
            <wp:docPr id="1" name="Figure 3 — Inflow, well 45-790" descr="Figure 3 — Inflow, well 45-790" title="Figure 3 — Inflow, well 4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3 — Inflow, well 45-790</w:t>
      </w:r>
    </w:p>
    <w:p>
      <w:pPr>
        <w:spacing w:after="0" w:before="160" w:line="240" w:lineRule="auto"/>
        <w:jc w:val="center"/>
      </w:pPr>
      <w:r>
        <w:drawing>
          <wp:inline distT="0" distB="0" distL="0" distR="0">
            <wp:extent cx="5667375" cy="3076575"/>
            <wp:effectExtent t="0" r="0" b="0" l="0"/>
            <wp:docPr id="1" name="Figure 4 — Inflow, well 46-806" descr="Figure 4 — Inflow, well 46-806" title="Figure 4 — Inflow, well 4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4 — Inflow, well 46-806</w:t>
      </w:r>
    </w:p>
    <w:p>
      <w:pPr>
        <w:spacing w:after="0" w:before="160" w:line="240" w:lineRule="auto"/>
        <w:jc w:val="center"/>
      </w:pPr>
      <w:r>
        <w:drawing>
          <wp:inline distT="0" distB="0" distL="0" distR="0">
            <wp:extent cx="5667375" cy="3076575"/>
            <wp:effectExtent t="0" r="0" b="0" l="0"/>
            <wp:docPr id="1" name="Figure 5 — Inflow, well 48-812" descr="Figure 5 — Inflow, well 48-812" title="Figure 5 — Inflow, well 4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5 — Inflow, well 48-812</w:t>
      </w:r>
    </w:p>
    <w:p>
      <w:pPr>
        <w:spacing w:after="0" w:before="160" w:line="240" w:lineRule="auto"/>
        <w:jc w:val="center"/>
      </w:pPr>
      <w:r>
        <w:drawing>
          <wp:inline distT="0" distB="0" distL="0" distR="0">
            <wp:extent cx="5667375" cy="3076575"/>
            <wp:effectExtent t="0" r="0" b="0" l="0"/>
            <wp:docPr id="1" name="Figure 6 — Inflow, well 1071" descr="Figure 6 — Inflow, well 1071" title="Figure 6 — Inflow, well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6 — Inflow, well 1071</w:t>
      </w:r>
    </w:p>
    <w:p>
      <w:pPr>
        <w:spacing w:after="0" w:before="160" w:line="240" w:lineRule="auto"/>
        <w:jc w:val="center"/>
      </w:pPr>
      <w:r>
        <w:drawing>
          <wp:inline distT="0" distB="0" distL="0" distR="0">
            <wp:extent cx="5667375" cy="3076575"/>
            <wp:effectExtent t="0" r="0" b="0" l="0"/>
            <wp:docPr id="1" name="Figure 7 — Inflow, well 590 (no anomaly detected)" descr="Figure 7 — Inflow, well 590 (no anomaly detected)" title="Figure 7 — Inflow, well 590 (no anomaly 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7 — Inflow, well 590 (no anomaly detected)</w:t>
      </w:r>
    </w:p>
    <w:p>
      <w:pPr>
        <w:spacing w:after="0" w:before="160" w:line="240" w:lineRule="auto"/>
        <w:jc w:val="center"/>
      </w:pPr>
      <w:r>
        <w:drawing>
          <wp:inline distT="0" distB="0" distL="0" distR="0">
            <wp:extent cx="5667375" cy="3076575"/>
            <wp:effectExtent t="0" r="0" b="0" l="0"/>
            <wp:docPr id="1" name="Figure 8 — Tubing leak, well 524 (pressure step)" descr="Figure 8 — Tubing leak, well 524 (pressure step)" title="Figure 8 — Tubing leak, well 524 (pressur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sz w:val="28"/>
          <w:szCs w:val="28"/>
        </w:rPr>
        <w:t xml:space="preserve">Figure 8 — Tubing leak, well 524 (pressure step)</w:t>
      </w:r>
    </w:p>
    <w:p>
      <w:pPr>
        <w:pStyle w:val="Heading1"/>
      </w:pPr>
      <w:r>
        <w:rPr>
          <w:rFonts w:ascii="Times New Roman" w:cs="Times New Roman" w:eastAsia="Times New Roman" w:hAnsi="Times New Roman"/>
          <w:b/>
          <w:bCs/>
          <w:sz w:val="28"/>
          <w:szCs w:val="28"/>
        </w:rPr>
        <w:t xml:space="preserve">8 Recommendations for Further Development (clause 3.6)</w:t>
      </w:r>
    </w:p>
    <w:p>
      <w:pPr>
        <w:pStyle w:val="Heading2"/>
      </w:pPr>
      <w:r>
        <w:rPr>
          <w:rFonts w:ascii="Times New Roman" w:cs="Times New Roman" w:eastAsia="Times New Roman" w:hAnsi="Times New Roman"/>
          <w:b/>
          <w:bCs/>
          <w:sz w:val="28"/>
          <w:szCs w:val="28"/>
        </w:rPr>
        <w:t xml:space="preserve">8.1 Expanding the List of Detected Anomalies</w:t>
      </w:r>
    </w:p>
    <w:p>
      <w:pPr>
        <w:spacing w:after="0" w:line="360" w:lineRule="auto"/>
        <w:ind w:firstLine="709"/>
        <w:jc w:val="both"/>
      </w:pPr>
      <w:r>
        <w:rPr>
          <w:rFonts w:ascii="Times New Roman" w:cs="Times New Roman" w:eastAsia="Times New Roman" w:hAnsi="Times New Roman"/>
          <w:sz w:val="28"/>
          <w:szCs w:val="28"/>
        </w:rPr>
        <w:t xml:space="preserve">Adding new anomaly types (primarily scaling, for which a pilot check has already been performed), as well as other degradation modes of downhole pumping equipment.</w:t>
      </w:r>
    </w:p>
    <w:p>
      <w:pPr>
        <w:pStyle w:val="Heading2"/>
      </w:pPr>
      <w:r>
        <w:rPr>
          <w:rFonts w:ascii="Times New Roman" w:cs="Times New Roman" w:eastAsia="Times New Roman" w:hAnsi="Times New Roman"/>
          <w:b/>
          <w:bCs/>
          <w:sz w:val="28"/>
          <w:szCs w:val="28"/>
        </w:rPr>
        <w:t xml:space="preserve">8.2 Improving Quality for Existing Types</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Collecting exports of normal regime changes (output-frequency changes) across a larger number of wells — for more reliable separation of inflow from the normal response to a regime change.</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Per-well calibration of pressure sensitivity to frequency, storing the coefficient in the well record.</w:t>
      </w:r>
    </w:p>
    <w:p>
      <w:pPr>
        <w:pStyle w:val="Heading2"/>
      </w:pPr>
      <w:r>
        <w:rPr>
          <w:rFonts w:ascii="Times New Roman" w:cs="Times New Roman" w:eastAsia="Times New Roman" w:hAnsi="Times New Roman"/>
          <w:b/>
          <w:bCs/>
          <w:sz w:val="28"/>
          <w:szCs w:val="28"/>
        </w:rPr>
        <w:t xml:space="preserve">8.3 Deployment into the Production Environment</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Moving the module to online mode (real-time streaming processing of telemetry).</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Packaging the module as a service with an API and integrating it with the Customer's information systems; an operator dashboard and a trigger log.</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Automatic rejection of data artifacts (pump shutdowns, the "sawtooth" effect due to measurement units) at the preprocessing stage.</w:t>
      </w:r>
    </w:p>
    <w:p>
      <w:pPr>
        <w:spacing w:before="240" w:line="360" w:lineRule="auto"/>
        <w:ind w:firstLine="709"/>
        <w:jc w:val="both"/>
      </w:pPr>
      <w:r>
        <w:rPr>
          <w:rFonts w:ascii="Times New Roman" w:cs="Times New Roman" w:eastAsia="Times New Roman" w:hAnsi="Times New Roman"/>
          <w:sz w:val="28"/>
          <w:szCs w:val="28"/>
        </w:rPr>
        <w:t xml:space="preserve">All mandatory requirements for the work product (clauses 3.1–3.6 of the Statement of Work) have been met: the module detects two agreed anomaly types, runs on the Customer's data, and is accompanied by source code, trained models, reporting materials, instructions with launch commands, test metrics, and recommendations for further development.</w:t>
      </w:r>
    </w:p>
    <w:sectPr>
      <w:footerReference w:type="default" r:id="rId7"/>
      <w:footerReference w:type="first" r:id="rId8"/>
      <w:pgSz w:w="11906" w:h="16838" w:orient="portrait"/>
      <w:pgMar w:top="1134" w:right="850" w:bottom="1134" w:left="1701" w:header="708" w:footer="708"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lineRule="auto"/>
        <w:jc w:val="both"/>
      </w:pPr>
      <w:r>
        <w:rPr>
          <w:rStyle w:val="FootnoteReference"/>
        </w:rPr>
        <w:footnoteRef/>
      </w:r>
      <w:r>
        <w:rPr>
          <w:rFonts w:ascii="Times New Roman" w:cs="Times New Roman" w:eastAsia="Times New Roman" w:hAnsi="Times New Roman"/>
          <w:sz w:val="20"/>
          <w:szCs w:val="20"/>
        </w:rPr>
        <w:t xml:space="preserve">The PaAno architecture is a third-party open-source solution (official GitHub repository; ICLR 2026 publication). It is not the Contractor's own development; it is used in a form adapted and fine-tuned for the Customer's task.</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line="360" w:lineRule="auto"/>
      <w:ind w:firstLine="709"/>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00" w:line="360" w:lineRule="auto"/>
      <w:ind w:firstLine="709"/>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b8ff7caeb6082a9e3c94c15b7d4ec9c2d4ee854.png"/><Relationship Id="rId10" Type="http://schemas.openxmlformats.org/officeDocument/2006/relationships/image" Target="media/c21aff06af192784419e6f69df735ea3c57e48e1.png"/><Relationship Id="rId11" Type="http://schemas.openxmlformats.org/officeDocument/2006/relationships/image" Target="media/a97886617e85cde565e2c1f1fcb83f42479db8bb.png"/><Relationship Id="rId12" Type="http://schemas.openxmlformats.org/officeDocument/2006/relationships/image" Target="media/20c2be89f8c129fe7324487b00bcddca76ecd929.png"/><Relationship Id="rId13" Type="http://schemas.openxmlformats.org/officeDocument/2006/relationships/image" Target="media/a9ddec9bedc9a03f3d2bb618a73db829b23f8c6f.png"/><Relationship Id="rId14" Type="http://schemas.openxmlformats.org/officeDocument/2006/relationships/image" Target="media/f9ed520ef9a4fc04520558754d162393d0ae6884.png"/><Relationship Id="rId15" Type="http://schemas.openxmlformats.org/officeDocument/2006/relationships/image" Target="media/02de2e37e5e0db65f42ac7ae9668551424123c41.png"/><Relationship Id="rId16" Type="http://schemas.openxmlformats.org/officeDocument/2006/relationships/image" Target="media/c681dfd4ea020e566cedd0415ce1d145a928a45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Test Report and Solution Description</dc:title>
  <dc:creator>DS MIND LAB</dc:creator>
  <cp:lastModifiedBy>Un-named</cp:lastModifiedBy>
  <cp:revision>1</cp:revision>
  <dcterms:created xsi:type="dcterms:W3CDTF">2026-06-18T12:22:12.932Z</dcterms:created>
  <dcterms:modified xsi:type="dcterms:W3CDTF">2026-06-18T12:22:12.932Z</dcterms:modified>
</cp:coreProperties>
</file>

<file path=docProps/custom.xml><?xml version="1.0" encoding="utf-8"?>
<Properties xmlns="http://schemas.openxmlformats.org/officeDocument/2006/custom-properties" xmlns:vt="http://schemas.openxmlformats.org/officeDocument/2006/docPropsVTypes"/>
</file>