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6A594"/>
          <w:sz w:val="52"/>
          <w:szCs w:val="52"/>
        </w:rPr>
        <w:t xml:space="preserve">SubZero — API Reference</w:t>
      </w:r>
    </w:p>
    <w:p>
      <w:pPr>
        <w:spacing w:after="260"/>
        <w:jc w:val="center"/>
      </w:pPr>
      <w:r>
        <w:rPr>
          <w:color w:val="667079"/>
          <w:sz w:val="22"/>
          <w:szCs w:val="22"/>
        </w:rPr>
        <w:t xml:space="preserve">Relay protocol · crypto/session API · client seams</w:t>
      </w:r>
    </w:p>
    <w:p>
      <w:pPr>
        <w:spacing w:after="110"/>
      </w:pPr>
      <w:r>
        <w:t xml:space="preserve">SubZero is designed around one rule: the server and network see only ciphertext and routing labels — never plaintext or keys. This reference covers the relay protocol, the wire formats, the cryptographic/session API, and the client integration seams.</w:t>
      </w:r>
    </w:p>
    <w:p>
      <w:pPr>
        <w:pStyle w:val="Heading1"/>
        <w:spacing w:after="120" w:before="300"/>
      </w:pPr>
      <w:r>
        <w:rPr>
          <w:b/>
          <w:bCs/>
          <w:color w:val="16A594"/>
        </w:rPr>
        <w:t xml:space="preserve">1. Relay server protocol (WebSocket)</w:t>
      </w:r>
    </w:p>
    <w:p>
      <w:pPr>
        <w:spacing w:after="110"/>
      </w:pPr>
      <w:r>
        <w:t xml:space="preserve">The relay is a single WebSocket endpoint plus an HTTP GET /health returning “ok”. All frames are JSON.</w:t>
      </w:r>
    </w:p>
    <w:p>
      <w:pPr>
        <w:pStyle w:val="Heading2"/>
        <w:spacing w:after="90" w:before="200"/>
      </w:pPr>
      <w:r>
        <w:rPr>
          <w:b/>
          <w:bCs/>
          <w:color w:val="0B0F14"/>
        </w:rPr>
        <w:t xml:space="preserve">Client →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shd w:fill="0B0F1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Frame</w:t>
            </w:r>
          </w:p>
        </w:tc>
        <w:tc>
          <w:tcPr>
            <w:tcW w:type="dxa" w:w="2600"/>
            <w:shd w:fill="0B0F1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Fields</w:t>
            </w:r>
          </w:p>
        </w:tc>
        <w:tc>
          <w:tcPr>
            <w:tcW w:type="dxa" w:w="5360"/>
            <w:shd w:fill="0B0F1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reg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Register this socket under a routing address.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bundle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address, bundle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Publish this address's public prekey bundle.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getBundle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Request a peer's published bundle.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env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to, kind, payload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Send an opaque envelope. kind = message | signal.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B0F14"/>
        </w:rPr>
        <w:t xml:space="preserve">Server →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shd w:fill="0B0F1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Frame</w:t>
            </w:r>
          </w:p>
        </w:tc>
        <w:tc>
          <w:tcPr>
            <w:tcW w:type="dxa" w:w="2600"/>
            <w:shd w:fill="0B0F1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Fields</w:t>
            </w:r>
          </w:p>
        </w:tc>
        <w:tc>
          <w:tcPr>
            <w:tcW w:type="dxa" w:w="5360"/>
            <w:shd w:fill="0B0F1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bundle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address, bundle|null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Reply to getBundle.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env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kind, payload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Delivered envelope. No sender field (sealed sender).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ack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queued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Send acknowledged; queued=true = stored for offline peer.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err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reason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Error (bad-json, bad-address, bad-envelope, …).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B0F14"/>
        </w:rPr>
        <w:t xml:space="preserve">Semantics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address is an opaque, client-chosen routing label (8–128 chars), e.g. a hash of the identity key. The server never interprets it.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payload is an opaque string (a JSON envelope of base64 fields). The server never parses it.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Store-and-forward: a message to an offline peer is queued (cap 500) and flushed on their next reg. Call signaling is NOT queued when the peer is offline.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State is in-memory only; nothing is persisted and no payloads are logged. Max frame 256 KiB.</w:t>
      </w:r>
    </w:p>
    <w:p>
      <w:pPr>
        <w:pStyle w:val="Heading2"/>
        <w:spacing w:after="90" w:before="200"/>
      </w:pPr>
      <w:r>
        <w:rPr>
          <w:b/>
          <w:bCs/>
          <w:color w:val="0B0F14"/>
        </w:rPr>
        <w:t xml:space="preserve">Example</w:t>
      </w:r>
    </w:p>
    <w:p>
      <w:pPr>
        <w:pBdr>
          <w:top w:val="single" w:color="D5DBDE" w:sz="4" w:space="4"/>
          <w:bottom w:val="single" w:color="D5DBDE" w:sz="4" w:space="4"/>
          <w:left w:val="single" w:color="D5DBDE" w:sz="4" w:space="6"/>
          <w:right w:val="single" w:color="D5DBDE" w:sz="4" w:space="6"/>
        </w:pBdr>
        <w:shd w:fill="F2F4F5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→ {"t":"reg","address":"a1b2c3d4e5"}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→ {"t":"bundle","address":"a1b2c3d4e5","bundle":"&lt;b64|b64|b64|b64&gt;"}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→ {"t":"getBundle","address":"f6g7h8i9j0"}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← {"t":"bundle","address":"f6g7h8i9j0","bundle":"&lt;…&gt;"}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→ {"t":"env","to":"f6g7h8i9j0","kind":"message",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"payload":"{\"hs\":\"…\",\"h\":\"…\",\"c\":\"…\"}"}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← {"t":"ack","queued":false}</w:t>
      </w:r>
    </w:p>
    <w:p>
      <w:pPr>
        <w:pStyle w:val="Heading1"/>
        <w:spacing w:after="120" w:before="300"/>
      </w:pPr>
      <w:r>
        <w:rPr>
          <w:b/>
          <w:bCs/>
          <w:color w:val="16A594"/>
        </w:rPr>
        <w:t xml:space="preserve">2. Wire formats</w:t>
      </w:r>
    </w:p>
    <w:p>
      <w:pPr>
        <w:pStyle w:val="Heading2"/>
        <w:spacing w:after="90" w:before="200"/>
      </w:pPr>
      <w:r>
        <w:rPr>
          <w:b/>
          <w:bCs/>
          <w:color w:val="0B0F14"/>
        </w:rPr>
        <w:t xml:space="preserve">Prekey bundle</w:t>
      </w:r>
    </w:p>
    <w:p>
      <w:pPr>
        <w:spacing w:after="110"/>
      </w:pPr>
      <w:r>
        <w:t xml:space="preserve">identityKey | identityKeyX | signedPreKey | signedPreKeySignature — each field base64 (X.509 for keys), joined by “|”.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identityKey — Ed25519 public (signs the signed prekey).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identityKeyX — X25519 public (X3DH agreement).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signedPreKey — X25519 public; signedPreKeySignature — Ed25519 signature over it.</w:t>
      </w:r>
    </w:p>
    <w:p>
      <w:pPr>
        <w:pStyle w:val="Heading2"/>
        <w:spacing w:after="90" w:before="200"/>
      </w:pPr>
      <w:r>
        <w:rPr>
          <w:b/>
          <w:bCs/>
          <w:color w:val="0B0F14"/>
        </w:rPr>
        <w:t xml:space="preserve">Handshake (first message only)</w:t>
      </w:r>
    </w:p>
    <w:p>
      <w:pPr>
        <w:spacing w:after="110"/>
      </w:pPr>
      <w:r>
        <w:t xml:space="preserve">identityKey | identityKeyX | ephemeral — each base64, joined by “|”.</w:t>
      </w:r>
    </w:p>
    <w:p>
      <w:pPr>
        <w:pStyle w:val="Heading2"/>
        <w:spacing w:after="90" w:before="200"/>
      </w:pPr>
      <w:r>
        <w:rPr>
          <w:b/>
          <w:bCs/>
          <w:color w:val="0B0F14"/>
        </w:rPr>
        <w:t xml:space="preserve">Message envelope (the payload of a message env)</w:t>
      </w:r>
    </w:p>
    <w:p>
      <w:pPr>
        <w:pBdr>
          <w:top w:val="single" w:color="D5DBDE" w:sz="4" w:space="4"/>
          <w:bottom w:val="single" w:color="D5DBDE" w:sz="4" w:space="4"/>
          <w:left w:val="single" w:color="D5DBDE" w:sz="4" w:space="6"/>
          <w:right w:val="single" w:color="D5DBDE" w:sz="4" w:space="6"/>
        </w:pBdr>
        <w:shd w:fill="F2F4F5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{ "hs": "&lt;handshake, first message only&gt;",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"h":  "&lt;base64 ratchet header&gt;",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"c":  "&lt;base64 ciphertext&gt;" }</w:t>
      </w:r>
    </w:p>
    <w:p>
      <w:pPr>
        <w:pStyle w:val="Heading1"/>
        <w:spacing w:after="120" w:before="300"/>
      </w:pPr>
      <w:r>
        <w:rPr>
          <w:b/>
          <w:bCs/>
          <w:color w:val="16A594"/>
        </w:rPr>
        <w:t xml:space="preserve">3. Cryptographic / session API (CryptoEngine)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760"/>
      </w:tblGrid>
      <w:tr>
        <w:tc>
          <w:tcPr>
            <w:tcW w:type="dxa" w:w="3600"/>
            <w:shd w:fill="0B0F1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6760"/>
            <w:shd w:fill="0B0F1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myBundleWire(): String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Serialized public bundle to publish.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verifyPreKey(bundle): Boolean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Verify a peer bundle's signed-prekey signature.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startOutbound(cid, peerWireBundle): Handshake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Initiator: establish session, return handshake to send.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acceptInbound(cid, handshake)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Responder: open session from a received handshake.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hasSession(cid): Boolean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Whether a session exists.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encrypt(cid, text): EncryptedMessage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Ratchet-encrypt UTF-8 text.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decrypt(cid, msg): String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Ratchet-decrypt to text.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wipeSessions()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Drop all sessions (secure logout).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B0F14"/>
        </w:rPr>
        <w:t xml:space="preserve">Primitives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X3DH (initiate/respond) → shared root via HKDF-SHA256 over three DH outputs (agreement verified on both sides).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Double Ratchet: X25519 DH ratchet + symmetric chain; AEAD is AES-256-GCM with the header as associated data.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KeyStoreManager: hardware-backed (StrongBox→TEE fallback) AES key wrapping data at rest (the vault).</w:t>
      </w:r>
    </w:p>
    <w:p>
      <w:pPr>
        <w:pStyle w:val="Heading2"/>
        <w:spacing w:after="90" w:before="200"/>
      </w:pPr>
      <w:r>
        <w:rPr>
          <w:b/>
          <w:bCs/>
          <w:color w:val="0B0F14"/>
        </w:rPr>
        <w:t xml:space="preserve">Session bootstrap flow</w:t>
      </w:r>
    </w:p>
    <w:p>
      <w:pPr>
        <w:pBdr>
          <w:top w:val="single" w:color="D5DBDE" w:sz="4" w:space="4"/>
          <w:bottom w:val="single" w:color="D5DBDE" w:sz="4" w:space="4"/>
          <w:left w:val="single" w:color="D5DBDE" w:sz="4" w:space="6"/>
          <w:right w:val="single" w:color="D5DBDE" w:sz="4" w:space="6"/>
        </w:pBdr>
        <w:shd w:fill="F2F4F5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Responder: publish myBundleWire()  ─▶ relay directory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Initiator: getBundle(responder)    ◀─ peerWireBundle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Initiator: hs = startOutbound(cid, peerWireBundle)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Initiator: send { hs, h, c }       ─▶ relay ─▶ Responder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Responder: acceptInbound(cid, hs); decrypt(cid, {h,c})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… thereafter both sides just encrypt()/decrypt() …</w:t>
      </w:r>
    </w:p>
    <w:p>
      <w:pPr>
        <w:pStyle w:val="Heading1"/>
        <w:spacing w:after="120" w:before="300"/>
      </w:pPr>
      <w:r>
        <w:rPr>
          <w:b/>
          <w:bCs/>
          <w:color w:val="16A594"/>
        </w:rPr>
        <w:t xml:space="preserve">4. Client integration seams</w:t>
      </w:r>
    </w:p>
    <w:p>
      <w:pPr>
        <w:pStyle w:val="Heading2"/>
        <w:spacing w:after="90" w:before="200"/>
      </w:pPr>
      <w:r>
        <w:rPr>
          <w:b/>
          <w:bCs/>
          <w:color w:val="0B0F14"/>
        </w:rPr>
        <w:t xml:space="preserve">Transport</w:t>
      </w:r>
    </w:p>
    <w:p>
      <w:pPr>
        <w:pBdr>
          <w:top w:val="single" w:color="D5DBDE" w:sz="4" w:space="4"/>
          <w:bottom w:val="single" w:color="D5DBDE" w:sz="4" w:space="4"/>
          <w:left w:val="single" w:color="D5DBDE" w:sz="4" w:space="6"/>
          <w:right w:val="single" w:color="D5DBDE" w:sz="4" w:space="6"/>
        </w:pBdr>
        <w:shd w:fill="F2F4F5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fun send(envelope: String)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fun onReceive(handler: (envelope: String) -&gt; Unit)</w:t>
      </w:r>
    </w:p>
    <w:p>
      <w:pPr>
        <w:pStyle w:val="Heading2"/>
        <w:spacing w:after="90" w:before="200"/>
      </w:pPr>
      <w:r>
        <w:rPr>
          <w:b/>
          <w:bCs/>
          <w:color w:val="0B0F14"/>
        </w:rPr>
        <w:t xml:space="preserve">Directory</w:t>
      </w:r>
    </w:p>
    <w:p>
      <w:pPr>
        <w:pBdr>
          <w:top w:val="single" w:color="D5DBDE" w:sz="4" w:space="4"/>
          <w:bottom w:val="single" w:color="D5DBDE" w:sz="4" w:space="4"/>
          <w:left w:val="single" w:color="D5DBDE" w:sz="4" w:space="6"/>
          <w:right w:val="single" w:color="D5DBDE" w:sz="4" w:space="6"/>
        </w:pBdr>
        <w:shd w:fill="F2F4F5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fun publish(bundleWire: String)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fun requestPeerBundle()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fun onPeerBundle(handler: (bundleWire: String) -&gt; Unit)</w:t>
      </w:r>
    </w:p>
    <w:p>
      <w:pPr>
        <w:spacing w:after="110"/>
      </w:pPr>
      <w:r>
        <w:t xml:space="preserve">WebSocketTransport implements both over one relay socket. RelaySettings (set on the in-app ⚙ setup screen) supplies url / selfAddress / peerAddress; a blank url keeps the app fully offline.</w:t>
      </w:r>
    </w:p>
    <w:p>
      <w:pPr>
        <w:pStyle w:val="Heading2"/>
        <w:spacing w:after="90" w:before="200"/>
      </w:pPr>
      <w:r>
        <w:rPr>
          <w:b/>
          <w:bCs/>
          <w:color w:val="0B0F14"/>
        </w:rPr>
        <w:t xml:space="preserve">Calling seam — RtcEngine</w:t>
      </w:r>
    </w:p>
    <w:p>
      <w:pPr>
        <w:spacing w:after="110"/>
      </w:pPr>
      <w:r>
        <w:t xml:space="preserve">CallManager drives the call state machine and hands SignalingMessages (Offer/Answer/IceCandidate/Hangup) to a sender that E2E-encrypts them before relaying as signal envelopes. LoopbackRtcEngine ships today; a WebRtcEngine (PeerConnectionFactory + STUN/TURN) plugs in for live media.</w:t>
      </w:r>
    </w:p>
    <w:p>
      <w:pPr>
        <w:pStyle w:val="Heading1"/>
        <w:spacing w:after="120" w:before="300"/>
      </w:pPr>
      <w:r>
        <w:rPr>
          <w:b/>
          <w:bCs/>
          <w:color w:val="16A594"/>
        </w:rPr>
        <w:t xml:space="preserve">5. Security properties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Confidentiality/integrity: E2E via X3DH + Double Ratchet; forward secrecy + post-compromise security. Server sees ciphertext only.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Metadata: sealed sender; no address-book upload; no payload logging; ephemeral server state.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rest: RAM-only message buffer; vault blobs AES-GCM encrypted under a hardware/Keychain key; no cloud backup.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 provided by design: anti-forensic self-wipe, app-hiding from the OS, automatic evidence destruction (see SECURITY.md).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2026-09-26T10:36:36.517Z</dcterms:created>
  <dcterms:modified xsi:type="dcterms:W3CDTF">2026-09-26T10:36:36.533Z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