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6B66"/>
          <w:sz w:val="72"/>
          <w:szCs w:val="72"/>
        </w:rPr>
        <w:t xml:space="preserve">GRC VAULT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Audit Procedures Manual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Standard Operating Procedures for Compliance Audits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19, 2026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1. Purpose and Scope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manual establishes standard operating procedures for conducting compliance audits using the GRC Vault platform. It covers audit planning, execution, finding documentation, evidence collection, reporting, and remediation tracking.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procedures apply to all internal and external audits managed through GRC Vault, including but not limited to: SOC 2 Type I and Type II engagements, ISO 27001 certification and surveillance audits, HIPAA security risk assessments, PCI DSS compliance assessments, GDPR compliance reviews, NIST CSF gap analyses, and CMMC readiness assessments.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 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Plans and coordinates the audit. Creates the audit record in GRC Vault. Assigns resources, manages timeline, and owns the final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Executes control testing. Collects and reviews evidence. Documents findings with severity assessments and recommendations.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Provides evidence and access to systems. Responds to auditor inquiries. Reviews findings for factual accuracy.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Risk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Accepts or remediates findings assigned to their domain. Provides remediation timelines and evidence of closure.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GRC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Oversees the audit program. Reviews reports for quality. Tracks remediation across all open findings.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3. Audit Planning Phase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Defining the Audit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GRC Vault, navigate to the Audit Collection module and click 'New Audit'. Complete all fields: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 Name: Use a descriptive, unique name including the time period and framework (e.g., 'Q1 2026 SOC 2 Type II').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Framework: Select the compliance framework being assessed. This determines the control mapping options available for findings.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Scope: Define what systems, processes, and data are included. Be specific about boundaries.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Lead Auditor: The person responsible for coordinating the audit.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Start/End Date: The planned engagement window.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Notes: Document audit objectives, criteria, and any special considerations.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Pre-Audit Preparation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beginning fieldwork, the audit lead should: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 the previous audit report and open findings for this framework.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scope boundaries with auditee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 an evidence request list based on framework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Schedule kickoff meeting with all stakeholders.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the audit status to 'In Progress' when fieldwork begins.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4. Fieldwork and Evidence Collection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Control Testing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control in scope, auditors should: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 the control design: Is the control designed to address the risk? Review documentation, policies, and configurations.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operating effectiveness: Has the control operated effectively over the review period? Test a sample of transactions, logs, or configurations.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results: Record pass/fail status and the basis for the conclusion.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Evidence Standards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evidence must meet the following quality criteria: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Criterion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Relevant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must directly relate to the control being tested.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Reliable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from system-generated sources is preferred over manually created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Sufficient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Sample sizes must meet statistical thresholds. For populations &gt;250, minimum 25 samples.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must be from the audit period. Screenshots must include visible timestamps.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must cover the full control assertion. Partial evidence requires additional follow-up.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Evidence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Screenshots: System configurations, access control lists, dashboard views. Must include date/time.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exports: SIEM reports, access logs, change records. Must cover the audit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Documents: Policies, procedures, training records, meeting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Interviews: Documented notes from conversations with control owners.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Configuration exports: Raw configuration files from systems under review.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5. Finding Documentation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Creating Findings in GRC Vault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audit detail view and click 'Add Finding'. Complete all required fields. Each finding should represent a single, discrete observation that can be independently remediated.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Remediation SLA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Direct, exploitable vulnerability or control failure that could result in material data breach, regulatory action, or significant financial loss. Requires immediate executive notification.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Significant control weakness or gap that creates material risk. Compensating controls may partially mitigate. Requires management action plan.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Control deficiency that increases risk above acceptable levels but does not create immediate exposure. Include in standard remediation planning.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180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Minor observation or improvement opportunity. Does not materially affect risk posture. May be addressed during next planned maintenance cycle.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Writing Effective Findings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finding should follow the Condition-Criteria-Cause-Effect-Recommendation (C4R) format: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Condition: What was observed? State facts without judgment.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Criteria: What is the expected standard? Reference the specific framework control.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Cause: Why does the condition exist? Identify root cause where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Effect: What is the business impact? Quantify when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Recommendation: What specific actions should be taken? Include timeline.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6. Reporting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Report Generation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GRC Vault's Reports module generates three report types. Select the appropriate tab based on audience: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Executive Summary: For board members and C-level executives. Focuses on risk posture, compliance percentage, and high-level findings 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Risk Register Report: For risk committees and management. Provides complete risk inventory with scoring and treatment plans.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 Findings Report: For technical teams and remediation owners. Lists all findings with full detail and recommendations.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Report Distribution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Reports generated in GRC Vault include timestamps and should be exported (via Settings &gt; Export) for archival. Distribute reports to stakeholders per the RACI matrix established during planning. All reports should be classified as Confidential.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7. Remediation Tracking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Remediation Workflow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Finding is documented in GRC Vault with status 'Open'.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Finding is assigned to a risk owner who develops a remediation plan.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Risk owner implements remediation within the SLA defined by the severity level.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Auditor validates the remediation by reviewing evidence of closure.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Finding status is updated in GRC Vault. Audit status moves to 'Completed' when all findings are addressed.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Remediation SLA Escalation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finding is not remediated within its SLA, the following escalation path applies: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Day SLA+1: Automated reminder to risk owner.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Day SLA+7: Escalation to risk owner's manager.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Day SLA+14: Escalation to GRC Manager and VP/Director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Day SLA+30: Escalation to CISO/CRO for risk acceptance or forced remediation.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66"/>
          <w:sz w:val="32"/>
          <w:szCs w:val="32"/>
        </w:rPr>
        <w:t xml:space="preserve">8. Data Retention and Archival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audit records, findings, evidence, and reports must be retained according to the following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Retention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6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years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Required by SOX, HIPAA, and most regulatory frameworks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Finding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 years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Includes remediation evidence and closure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Evidence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years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Minimum; extend if required by specific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Risk assessments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years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Historical risk data supports trend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Policy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Current + 2 prior 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Track policy evolution for regulatory inquiries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GRC Vault's Export feature to create periodic JSON backups. Store backups in a secure, access-controlled location with encryption at rest.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GRC Vault — Audit Procedures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2026-03-19T13:47:21.136Z</dcterms:created>
  <dcterms:modified xsi:type="dcterms:W3CDTF">2026-03-19T13:47:21.136Z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