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6B66"/>
          <w:sz w:val="72"/>
          <w:szCs w:val="72"/>
        </w:rPr>
        <w:t xml:space="preserve">GRC VAULT</w:t>
      </w:r>
    </w:p>
    <w:p>
      <w:pPr>
        <w:spacing w:after="200"/>
        <w:jc w:val="center"/>
      </w:pPr>
      <w:r>
        <w:rPr>
          <w:rFonts w:ascii="Arial" w:cs="Arial" w:eastAsia="Arial" w:hAnsi="Arial"/>
          <w:color w:val="666666"/>
          <w:sz w:val="28"/>
          <w:szCs w:val="28"/>
        </w:rPr>
        <w:t xml:space="preserve">Enterprise Governance, Risk &amp; Compliance Platform</w:t>
      </w:r>
    </w:p>
    <w:p>
      <w:pPr>
        <w:spacing w:after="600"/>
        <w:jc w:val="center"/>
      </w:pPr>
      <w:r>
        <w:rPr>
          <w:rFonts w:ascii="Arial" w:cs="Arial" w:eastAsia="Arial" w:hAnsi="Arial"/>
          <w:color w:val="888888"/>
          <w:sz w:val="24"/>
          <w:szCs w:val="24"/>
        </w:rPr>
        <w:t xml:space="preserve">User Manual — Version 2.0</w:t>
      </w:r>
    </w:p>
    <w:p>
      <w:pPr>
        <w:jc w:val="center"/>
      </w:pPr>
      <w:r>
        <w:rPr>
          <w:rFonts w:ascii="Arial" w:cs="Arial" w:eastAsia="Arial" w:hAnsi="Arial"/>
          <w:color w:val="999999"/>
          <w:sz w:val="22"/>
          <w:szCs w:val="22"/>
        </w:rPr>
        <w:t xml:space="preserve">March 19, 2026</w:t>
      </w:r>
    </w:p>
    <w:p>
      <w:pPr>
        <w:spacing w:before="2000"/>
        <w:jc w:val="center"/>
      </w:pPr>
      <w:r>
        <w:rPr>
          <w:rFonts w:ascii="Arial" w:cs="Arial" w:eastAsia="Arial" w:hAnsi="Arial"/>
          <w:b/>
          <w:bCs/>
          <w:color w:val="CC0000"/>
          <w:sz w:val="20"/>
          <w:szCs w:val="20"/>
        </w:rPr>
        <w:t xml:space="preserve">CONFIDENTIAL</w:t>
      </w:r>
    </w:p>
    <w:p>
      <w:r>
        <w:br w:type="page"/>
      </w:r>
    </w:p>
    <w:p>
      <w:pPr>
        <w:pStyle w:val="Heading1"/>
        <w:spacing w:after="200" w:before="400"/>
      </w:pPr>
      <w:r>
        <w:rPr>
          <w:rFonts w:ascii="Arial" w:cs="Arial" w:eastAsia="Arial" w:hAnsi="Arial"/>
          <w:b/>
          <w:bCs/>
          <w:color w:val="1A6B66"/>
          <w:sz w:val="32"/>
          <w:szCs w:val="32"/>
        </w:rPr>
        <w:t xml:space="preserve">Table of Contents</w:t>
      </w:r>
    </w:p>
    <w:p>
      <w:pPr>
        <w:spacing w:after="160"/>
      </w:pPr>
      <w:r>
        <w:rPr>
          <w:rFonts w:ascii="Arial" w:cs="Arial" w:eastAsia="Arial" w:hAnsi="Arial"/>
          <w:color w:val="444444"/>
          <w:sz w:val="22"/>
          <w:szCs w:val="22"/>
        </w:rPr>
        <w:t xml:space="preserve">1. Overview and Architecture</w:t>
      </w:r>
    </w:p>
    <w:p>
      <w:pPr>
        <w:spacing w:after="160"/>
      </w:pPr>
      <w:r>
        <w:rPr>
          <w:rFonts w:ascii="Arial" w:cs="Arial" w:eastAsia="Arial" w:hAnsi="Arial"/>
          <w:color w:val="444444"/>
          <w:sz w:val="22"/>
          <w:szCs w:val="22"/>
        </w:rPr>
        <w:t xml:space="preserve">2. Installation and Configuration</w:t>
      </w:r>
    </w:p>
    <w:p>
      <w:pPr>
        <w:spacing w:after="160"/>
      </w:pPr>
      <w:r>
        <w:rPr>
          <w:rFonts w:ascii="Arial" w:cs="Arial" w:eastAsia="Arial" w:hAnsi="Arial"/>
          <w:color w:val="444444"/>
          <w:sz w:val="22"/>
          <w:szCs w:val="22"/>
        </w:rPr>
        <w:t xml:space="preserve">3. Dashboard</w:t>
      </w:r>
    </w:p>
    <w:p>
      <w:pPr>
        <w:spacing w:after="160"/>
      </w:pPr>
      <w:r>
        <w:rPr>
          <w:rFonts w:ascii="Arial" w:cs="Arial" w:eastAsia="Arial" w:hAnsi="Arial"/>
          <w:color w:val="444444"/>
          <w:sz w:val="22"/>
          <w:szCs w:val="22"/>
        </w:rPr>
        <w:t xml:space="preserve">4. Audit Collection Module</w:t>
      </w:r>
    </w:p>
    <w:p>
      <w:pPr>
        <w:spacing w:after="160"/>
      </w:pPr>
      <w:r>
        <w:rPr>
          <w:rFonts w:ascii="Arial" w:cs="Arial" w:eastAsia="Arial" w:hAnsi="Arial"/>
          <w:color w:val="444444"/>
          <w:sz w:val="22"/>
          <w:szCs w:val="22"/>
        </w:rPr>
        <w:t xml:space="preserve">5. Risk Register Module</w:t>
      </w:r>
    </w:p>
    <w:p>
      <w:pPr>
        <w:spacing w:after="160"/>
      </w:pPr>
      <w:r>
        <w:rPr>
          <w:rFonts w:ascii="Arial" w:cs="Arial" w:eastAsia="Arial" w:hAnsi="Arial"/>
          <w:color w:val="444444"/>
          <w:sz w:val="22"/>
          <w:szCs w:val="22"/>
        </w:rPr>
        <w:t xml:space="preserve">6. Risk Benchmarks Module</w:t>
      </w:r>
    </w:p>
    <w:p>
      <w:pPr>
        <w:spacing w:after="160"/>
      </w:pPr>
      <w:r>
        <w:rPr>
          <w:rFonts w:ascii="Arial" w:cs="Arial" w:eastAsia="Arial" w:hAnsi="Arial"/>
          <w:color w:val="444444"/>
          <w:sz w:val="22"/>
          <w:szCs w:val="22"/>
        </w:rPr>
        <w:t xml:space="preserve">7. Compliance Tracking Module</w:t>
      </w:r>
    </w:p>
    <w:p>
      <w:pPr>
        <w:spacing w:after="160"/>
      </w:pPr>
      <w:r>
        <w:rPr>
          <w:rFonts w:ascii="Arial" w:cs="Arial" w:eastAsia="Arial" w:hAnsi="Arial"/>
          <w:color w:val="444444"/>
          <w:sz w:val="22"/>
          <w:szCs w:val="22"/>
        </w:rPr>
        <w:t xml:space="preserve">8. Governance Module</w:t>
      </w:r>
    </w:p>
    <w:p>
      <w:pPr>
        <w:spacing w:after="160"/>
      </w:pPr>
      <w:r>
        <w:rPr>
          <w:rFonts w:ascii="Arial" w:cs="Arial" w:eastAsia="Arial" w:hAnsi="Arial"/>
          <w:color w:val="444444"/>
          <w:sz w:val="22"/>
          <w:szCs w:val="22"/>
        </w:rPr>
        <w:t xml:space="preserve">9. Reports Module</w:t>
      </w:r>
    </w:p>
    <w:p>
      <w:pPr>
        <w:spacing w:after="160"/>
      </w:pPr>
      <w:r>
        <w:rPr>
          <w:rFonts w:ascii="Arial" w:cs="Arial" w:eastAsia="Arial" w:hAnsi="Arial"/>
          <w:color w:val="444444"/>
          <w:sz w:val="22"/>
          <w:szCs w:val="22"/>
        </w:rPr>
        <w:t xml:space="preserve">10. Settings and API Configuration</w:t>
      </w:r>
    </w:p>
    <w:p>
      <w:pPr>
        <w:spacing w:after="160"/>
      </w:pPr>
      <w:r>
        <w:rPr>
          <w:rFonts w:ascii="Arial" w:cs="Arial" w:eastAsia="Arial" w:hAnsi="Arial"/>
          <w:color w:val="444444"/>
          <w:sz w:val="22"/>
          <w:szCs w:val="22"/>
        </w:rPr>
        <w:t xml:space="preserve">11. Risk Scoring Methodology</w:t>
      </w:r>
    </w:p>
    <w:p>
      <w:pPr>
        <w:spacing w:after="160"/>
      </w:pPr>
      <w:r>
        <w:rPr>
          <w:rFonts w:ascii="Arial" w:cs="Arial" w:eastAsia="Arial" w:hAnsi="Arial"/>
          <w:color w:val="444444"/>
          <w:sz w:val="22"/>
          <w:szCs w:val="22"/>
        </w:rPr>
        <w:t xml:space="preserve">12. Appendix: Supported Frameworks</w:t>
      </w:r>
    </w:p>
    <w:p>
      <w:r>
        <w:br w:type="page"/>
      </w:r>
    </w:p>
    <w:p>
      <w:pPr>
        <w:pStyle w:val="Heading1"/>
        <w:spacing w:after="200" w:before="400"/>
      </w:pPr>
      <w:r>
        <w:rPr>
          <w:rFonts w:ascii="Arial" w:cs="Arial" w:eastAsia="Arial" w:hAnsi="Arial"/>
          <w:b/>
          <w:bCs/>
          <w:color w:val="1A6B66"/>
          <w:sz w:val="32"/>
          <w:szCs w:val="32"/>
        </w:rPr>
        <w:t xml:space="preserve">1. Overview and Architecture</w:t>
      </w:r>
    </w:p>
    <w:p>
      <w:pPr>
        <w:spacing w:after="160"/>
      </w:pPr>
      <w:r>
        <w:rPr>
          <w:rFonts w:ascii="Arial" w:cs="Arial" w:eastAsia="Arial" w:hAnsi="Arial"/>
          <w:color w:val="444444"/>
          <w:sz w:val="22"/>
          <w:szCs w:val="22"/>
        </w:rPr>
        <w:t xml:space="preserve">GRC Vault is a modular, web-based Governance, Risk, and Compliance platform designed for enterprise audit collection, risk assessment, compliance tracking, and governance document management. It runs as a Node.js web server and is accessible from any modern web browser on your network.</w:t>
      </w:r>
    </w:p>
    <w:p>
      <w:pPr>
        <w:pStyle w:val="Heading2"/>
        <w:spacing w:after="150" w:before="300"/>
      </w:pPr>
      <w:r>
        <w:rPr>
          <w:rFonts w:ascii="Arial" w:cs="Arial" w:eastAsia="Arial" w:hAnsi="Arial"/>
          <w:b/>
          <w:bCs/>
          <w:color w:val="333333"/>
          <w:sz w:val="26"/>
          <w:szCs w:val="26"/>
        </w:rPr>
        <w:t xml:space="preserve">Key Features</w:t>
      </w:r>
    </w:p>
    <w:p>
      <w:pPr>
        <w:pStyle w:val="ListParagraph"/>
        <w:numPr>
          <w:ilvl w:val="0"/>
          <w:numId w:val="2"/>
        </w:numPr>
      </w:pPr>
      <w:r>
        <w:rPr>
          <w:rFonts w:ascii="Arial" w:cs="Arial" w:eastAsia="Arial" w:hAnsi="Arial"/>
          <w:sz w:val="22"/>
          <w:szCs w:val="22"/>
        </w:rPr>
        <w:t xml:space="preserve">Multi-framework audit management (NIST CSF, ISO 27001, SOC 2, HIPAA, PCI DSS, GDPR, CMMC)</w:t>
      </w:r>
    </w:p>
    <w:p>
      <w:pPr>
        <w:pStyle w:val="ListParagraph"/>
        <w:numPr>
          <w:ilvl w:val="0"/>
          <w:numId w:val="2"/>
        </w:numPr>
      </w:pPr>
      <w:r>
        <w:rPr>
          <w:rFonts w:ascii="Arial" w:cs="Arial" w:eastAsia="Arial" w:hAnsi="Arial"/>
          <w:sz w:val="22"/>
          <w:szCs w:val="22"/>
        </w:rPr>
        <w:t xml:space="preserve">Quantitative risk scoring with 5x5 heat map and residual risk analysis</w:t>
      </w:r>
    </w:p>
    <w:p>
      <w:pPr>
        <w:pStyle w:val="ListParagraph"/>
        <w:numPr>
          <w:ilvl w:val="0"/>
          <w:numId w:val="2"/>
        </w:numPr>
      </w:pPr>
      <w:r>
        <w:rPr>
          <w:rFonts w:ascii="Arial" w:cs="Arial" w:eastAsia="Arial" w:hAnsi="Arial"/>
          <w:sz w:val="22"/>
          <w:szCs w:val="22"/>
        </w:rPr>
        <w:t xml:space="preserve">Industry benchmarks with financial impact modeling across 8 sectors</w:t>
      </w:r>
    </w:p>
    <w:p>
      <w:pPr>
        <w:pStyle w:val="ListParagraph"/>
        <w:numPr>
          <w:ilvl w:val="0"/>
          <w:numId w:val="2"/>
        </w:numPr>
      </w:pPr>
      <w:r>
        <w:rPr>
          <w:rFonts w:ascii="Arial" w:cs="Arial" w:eastAsia="Arial" w:hAnsi="Arial"/>
          <w:sz w:val="22"/>
          <w:szCs w:val="22"/>
        </w:rPr>
        <w:t xml:space="preserve">Compliance control mapping with implementation tracking and coverage metrics</w:t>
      </w:r>
    </w:p>
    <w:p>
      <w:pPr>
        <w:pStyle w:val="ListParagraph"/>
        <w:numPr>
          <w:ilvl w:val="0"/>
          <w:numId w:val="2"/>
        </w:numPr>
      </w:pPr>
      <w:r>
        <w:rPr>
          <w:rFonts w:ascii="Arial" w:cs="Arial" w:eastAsia="Arial" w:hAnsi="Arial"/>
          <w:sz w:val="22"/>
          <w:szCs w:val="22"/>
        </w:rPr>
        <w:t xml:space="preserve">Governance document lifecycle management with versioning and review scheduling</w:t>
      </w:r>
    </w:p>
    <w:p>
      <w:pPr>
        <w:pStyle w:val="ListParagraph"/>
        <w:numPr>
          <w:ilvl w:val="0"/>
          <w:numId w:val="2"/>
        </w:numPr>
      </w:pPr>
      <w:r>
        <w:rPr>
          <w:rFonts w:ascii="Arial" w:cs="Arial" w:eastAsia="Arial" w:hAnsi="Arial"/>
          <w:sz w:val="22"/>
          <w:szCs w:val="22"/>
        </w:rPr>
        <w:t xml:space="preserve">RESTful API for integration with external tools and services</w:t>
      </w:r>
    </w:p>
    <w:p>
      <w:pPr>
        <w:pStyle w:val="ListParagraph"/>
        <w:numPr>
          <w:ilvl w:val="0"/>
          <w:numId w:val="2"/>
        </w:numPr>
        <w:spacing w:after="200"/>
      </w:pPr>
      <w:r>
        <w:rPr>
          <w:rFonts w:ascii="Arial" w:cs="Arial" w:eastAsia="Arial" w:hAnsi="Arial"/>
          <w:sz w:val="22"/>
          <w:szCs w:val="22"/>
        </w:rPr>
        <w:t xml:space="preserve">Local-first embedded database with optional external API synchronization</w:t>
      </w:r>
    </w:p>
    <w:p>
      <w:pPr>
        <w:pStyle w:val="Heading2"/>
        <w:spacing w:after="150" w:before="300"/>
      </w:pPr>
      <w:r>
        <w:rPr>
          <w:rFonts w:ascii="Arial" w:cs="Arial" w:eastAsia="Arial" w:hAnsi="Arial"/>
          <w:b/>
          <w:bCs/>
          <w:color w:val="333333"/>
          <w:sz w:val="26"/>
          <w:szCs w:val="26"/>
        </w:rPr>
        <w:t xml:space="preserve">Architecture</w:t>
      </w:r>
    </w:p>
    <w:p>
      <w:pPr>
        <w:spacing w:after="160"/>
      </w:pPr>
      <w:r>
        <w:rPr>
          <w:rFonts w:ascii="Arial" w:cs="Arial" w:eastAsia="Arial" w:hAnsi="Arial"/>
          <w:color w:val="444444"/>
          <w:sz w:val="22"/>
          <w:szCs w:val="22"/>
        </w:rPr>
        <w:t xml:space="preserve">The application follows a client-server architecture. The backend is a Node.js Express server providing a RESTful API. The frontend is a single-page application (SPA) served as static files. Data is stored in NeDB, an embedded document database with a MongoDB-compatible query API. No external database server is required.</w:t>
      </w:r>
    </w:p>
    <w:p>
      <w:pPr>
        <w:spacing w:after="160"/>
      </w:pPr>
      <w:r>
        <w:rPr>
          <w:rFonts w:ascii="Arial" w:cs="Arial" w:eastAsia="Arial" w:hAnsi="Arial"/>
          <w:color w:val="444444"/>
          <w:sz w:val="22"/>
          <w:szCs w:val="22"/>
        </w:rPr>
        <w:t xml:space="preserve">All data is persisted to disk in the ./db/data/ directory (configurable via the DB_PATH environment variable). Each data collection (audits, risks, controls, etc.) is stored as a separate .db file.</w:t>
      </w:r>
    </w:p>
    <w:p>
      <w:r>
        <w:br w:type="page"/>
      </w:r>
    </w:p>
    <w:p>
      <w:pPr>
        <w:pStyle w:val="Heading1"/>
        <w:spacing w:after="200" w:before="400"/>
      </w:pPr>
      <w:r>
        <w:rPr>
          <w:rFonts w:ascii="Arial" w:cs="Arial" w:eastAsia="Arial" w:hAnsi="Arial"/>
          <w:b/>
          <w:bCs/>
          <w:color w:val="1A6B66"/>
          <w:sz w:val="32"/>
          <w:szCs w:val="32"/>
        </w:rPr>
        <w:t xml:space="preserve">2. Installation and Configuration</w:t>
      </w:r>
    </w:p>
    <w:p>
      <w:pPr>
        <w:pStyle w:val="Heading2"/>
        <w:spacing w:after="150" w:before="300"/>
      </w:pPr>
      <w:r>
        <w:rPr>
          <w:rFonts w:ascii="Arial" w:cs="Arial" w:eastAsia="Arial" w:hAnsi="Arial"/>
          <w:b/>
          <w:bCs/>
          <w:color w:val="333333"/>
          <w:sz w:val="26"/>
          <w:szCs w:val="26"/>
        </w:rPr>
        <w:t xml:space="preserve">Prerequisites</w:t>
      </w:r>
    </w:p>
    <w:p>
      <w:pPr>
        <w:spacing w:after="160"/>
      </w:pPr>
      <w:r>
        <w:rPr>
          <w:rFonts w:ascii="Arial" w:cs="Arial" w:eastAsia="Arial" w:hAnsi="Arial"/>
          <w:color w:val="444444"/>
          <w:sz w:val="22"/>
          <w:szCs w:val="22"/>
        </w:rPr>
        <w:t xml:space="preserve">Node.js version 18 or higher is required. Download from https://nodejs.org. npm (Node Package Manager) is included with the Node.js installer.</w:t>
      </w:r>
    </w:p>
    <w:p>
      <w:pPr>
        <w:pStyle w:val="Heading2"/>
        <w:spacing w:after="150" w:before="300"/>
      </w:pPr>
      <w:r>
        <w:rPr>
          <w:rFonts w:ascii="Arial" w:cs="Arial" w:eastAsia="Arial" w:hAnsi="Arial"/>
          <w:b/>
          <w:bCs/>
          <w:color w:val="333333"/>
          <w:sz w:val="26"/>
          <w:szCs w:val="26"/>
        </w:rPr>
        <w:t xml:space="preserve">Installation Steps</w:t>
      </w:r>
    </w:p>
    <w:p>
      <w:pPr>
        <w:spacing w:after="160"/>
      </w:pPr>
      <w:r>
        <w:rPr>
          <w:rFonts w:ascii="Arial" w:cs="Arial" w:eastAsia="Arial" w:hAnsi="Arial"/>
          <w:b/>
          <w:bCs/>
          <w:color w:val="333333"/>
          <w:sz w:val="22"/>
          <w:szCs w:val="22"/>
        </w:rPr>
        <w:t xml:space="preserve">Step 1: </w:t>
      </w:r>
      <w:r>
        <w:rPr>
          <w:rFonts w:ascii="Arial" w:cs="Arial" w:eastAsia="Arial" w:hAnsi="Arial"/>
          <w:color w:val="444444"/>
          <w:sz w:val="22"/>
          <w:szCs w:val="22"/>
        </w:rPr>
        <w:t xml:space="preserve">Extract the grc-vault project archive to your desired installation directory.</w:t>
      </w:r>
    </w:p>
    <w:p>
      <w:pPr>
        <w:spacing w:after="160"/>
      </w:pPr>
      <w:r>
        <w:rPr>
          <w:rFonts w:ascii="Arial" w:cs="Arial" w:eastAsia="Arial" w:hAnsi="Arial"/>
          <w:b/>
          <w:bCs/>
          <w:color w:val="333333"/>
          <w:sz w:val="22"/>
          <w:szCs w:val="22"/>
        </w:rPr>
        <w:t xml:space="preserve">Step 2: </w:t>
      </w:r>
      <w:r>
        <w:rPr>
          <w:rFonts w:ascii="Arial" w:cs="Arial" w:eastAsia="Arial" w:hAnsi="Arial"/>
          <w:color w:val="444444"/>
          <w:sz w:val="22"/>
          <w:szCs w:val="22"/>
        </w:rPr>
        <w:t xml:space="preserve">Open a terminal (Linux/macOS) or Command Prompt (Windows) and navigate to the project directory.</w:t>
      </w:r>
    </w:p>
    <w:p>
      <w:pPr>
        <w:spacing w:after="160"/>
      </w:pPr>
      <w:r>
        <w:rPr>
          <w:rFonts w:ascii="Arial" w:cs="Arial" w:eastAsia="Arial" w:hAnsi="Arial"/>
          <w:b/>
          <w:bCs/>
          <w:color w:val="333333"/>
          <w:sz w:val="22"/>
          <w:szCs w:val="22"/>
        </w:rPr>
        <w:t xml:space="preserve">Step 3: </w:t>
      </w:r>
      <w:r>
        <w:rPr>
          <w:rFonts w:ascii="Arial" w:cs="Arial" w:eastAsia="Arial" w:hAnsi="Arial"/>
          <w:color w:val="444444"/>
          <w:sz w:val="22"/>
          <w:szCs w:val="22"/>
        </w:rPr>
        <w:t xml:space="preserve">Run 'npm install' to install all dependencies.</w:t>
      </w:r>
    </w:p>
    <w:p>
      <w:pPr>
        <w:spacing w:after="160"/>
      </w:pPr>
      <w:r>
        <w:rPr>
          <w:rFonts w:ascii="Arial" w:cs="Arial" w:eastAsia="Arial" w:hAnsi="Arial"/>
          <w:b/>
          <w:bCs/>
          <w:color w:val="333333"/>
          <w:sz w:val="22"/>
          <w:szCs w:val="22"/>
        </w:rPr>
        <w:t xml:space="preserve">Step 4: </w:t>
      </w:r>
      <w:r>
        <w:rPr>
          <w:rFonts w:ascii="Arial" w:cs="Arial" w:eastAsia="Arial" w:hAnsi="Arial"/>
          <w:color w:val="444444"/>
          <w:sz w:val="22"/>
          <w:szCs w:val="22"/>
        </w:rPr>
        <w:t xml:space="preserve">Run 'npm start' to start the web server.</w:t>
      </w:r>
    </w:p>
    <w:p>
      <w:pPr>
        <w:spacing w:after="160"/>
      </w:pPr>
      <w:r>
        <w:rPr>
          <w:rFonts w:ascii="Arial" w:cs="Arial" w:eastAsia="Arial" w:hAnsi="Arial"/>
          <w:b/>
          <w:bCs/>
          <w:color w:val="333333"/>
          <w:sz w:val="22"/>
          <w:szCs w:val="22"/>
        </w:rPr>
        <w:t xml:space="preserve">Step 5: </w:t>
      </w:r>
      <w:r>
        <w:rPr>
          <w:rFonts w:ascii="Arial" w:cs="Arial" w:eastAsia="Arial" w:hAnsi="Arial"/>
          <w:color w:val="444444"/>
          <w:sz w:val="22"/>
          <w:szCs w:val="22"/>
        </w:rPr>
        <w:t xml:space="preserve">Open a browser and navigate to http://localhost:3000</w:t>
      </w:r>
    </w:p>
    <w:p>
      <w:pPr>
        <w:pStyle w:val="Heading2"/>
        <w:spacing w:after="150" w:before="300"/>
      </w:pPr>
      <w:r>
        <w:rPr>
          <w:rFonts w:ascii="Arial" w:cs="Arial" w:eastAsia="Arial" w:hAnsi="Arial"/>
          <w:b/>
          <w:bCs/>
          <w:color w:val="333333"/>
          <w:sz w:val="26"/>
          <w:szCs w:val="26"/>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Arial" w:cs="Arial" w:eastAsia="Arial" w:hAnsi="Arial"/>
                <w:b/>
                <w:bCs/>
                <w:color w:val="1A6B66"/>
                <w:sz w:val="20"/>
                <w:szCs w:val="20"/>
              </w:rPr>
              <w:t xml:space="preserve">Variable</w:t>
            </w:r>
          </w:p>
        </w:tc>
        <w:tc>
          <w:tcPr>
            <w:tcW w:type="dxa" w:w="18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Arial" w:cs="Arial" w:eastAsia="Arial" w:hAnsi="Arial"/>
                <w:b/>
                <w:bCs/>
                <w:color w:val="1A6B66"/>
                <w:sz w:val="20"/>
                <w:szCs w:val="20"/>
              </w:rPr>
              <w:t xml:space="preserve">Default</w:t>
            </w:r>
          </w:p>
        </w:tc>
        <w:tc>
          <w:tcPr>
            <w:tcW w:type="dxa" w:w="556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Arial" w:cs="Arial" w:eastAsia="Arial" w:hAnsi="Arial"/>
                <w:b/>
                <w:bCs/>
                <w:color w:val="1A6B66"/>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3000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Web server port number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0.0.0.0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Network bind address. Use 0.0.0.0 for network access or 127.0.0.1 for local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DB_PATH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./db/data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Directory where database files are stored</w:t>
            </w:r>
          </w:p>
        </w:tc>
      </w:tr>
    </w:tbl>
    <w:p>
      <w:pPr>
        <w:pStyle w:val="Heading2"/>
        <w:spacing w:after="150" w:before="300"/>
      </w:pPr>
      <w:r>
        <w:rPr>
          <w:rFonts w:ascii="Arial" w:cs="Arial" w:eastAsia="Arial" w:hAnsi="Arial"/>
          <w:b/>
          <w:bCs/>
          <w:color w:val="333333"/>
          <w:sz w:val="26"/>
          <w:szCs w:val="26"/>
        </w:rPr>
        <w:t xml:space="preserve">Running as a System Service (Linux)</w:t>
      </w:r>
    </w:p>
    <w:p>
      <w:pPr>
        <w:spacing w:after="160"/>
      </w:pPr>
      <w:r>
        <w:rPr>
          <w:rFonts w:ascii="Arial" w:cs="Arial" w:eastAsia="Arial" w:hAnsi="Arial"/>
          <w:color w:val="444444"/>
          <w:sz w:val="22"/>
          <w:szCs w:val="22"/>
        </w:rPr>
        <w:t xml:space="preserve">A systemd service file (grc-vault.service) is included. Copy it to /etc/systemd/system/, edit the WorkingDirectory to match your installation path, then run: sudo systemctl enable grc-vault &amp;&amp; sudo systemctl start grc-vault</w:t>
      </w:r>
    </w:p>
    <w:p>
      <w:pPr>
        <w:pStyle w:val="Heading2"/>
        <w:spacing w:after="150" w:before="300"/>
      </w:pPr>
      <w:r>
        <w:rPr>
          <w:rFonts w:ascii="Arial" w:cs="Arial" w:eastAsia="Arial" w:hAnsi="Arial"/>
          <w:b/>
          <w:bCs/>
          <w:color w:val="333333"/>
          <w:sz w:val="26"/>
          <w:szCs w:val="26"/>
        </w:rPr>
        <w:t xml:space="preserve">Production Deployment</w:t>
      </w:r>
    </w:p>
    <w:p>
      <w:pPr>
        <w:spacing w:after="160"/>
      </w:pPr>
      <w:r>
        <w:rPr>
          <w:rFonts w:ascii="Arial" w:cs="Arial" w:eastAsia="Arial" w:hAnsi="Arial"/>
          <w:color w:val="444444"/>
          <w:sz w:val="22"/>
          <w:szCs w:val="22"/>
        </w:rPr>
        <w:t xml:space="preserve">For production, place the application behind a reverse proxy such as nginx or Caddy to provide TLS encryption. The README includes a complete nginx configuration example with SSL certificate setup.</w:t>
      </w:r>
    </w:p>
    <w:p>
      <w:r>
        <w:br w:type="page"/>
      </w:r>
    </w:p>
    <w:p>
      <w:pPr>
        <w:pStyle w:val="Heading1"/>
        <w:spacing w:after="200" w:before="400"/>
      </w:pPr>
      <w:r>
        <w:rPr>
          <w:rFonts w:ascii="Arial" w:cs="Arial" w:eastAsia="Arial" w:hAnsi="Arial"/>
          <w:b/>
          <w:bCs/>
          <w:color w:val="1A6B66"/>
          <w:sz w:val="32"/>
          <w:szCs w:val="32"/>
        </w:rPr>
        <w:t xml:space="preserve">3. Dashboard</w:t>
      </w:r>
    </w:p>
    <w:p>
      <w:pPr>
        <w:spacing w:after="160"/>
      </w:pPr>
      <w:r>
        <w:rPr>
          <w:rFonts w:ascii="Arial" w:cs="Arial" w:eastAsia="Arial" w:hAnsi="Arial"/>
          <w:color w:val="444444"/>
          <w:sz w:val="22"/>
          <w:szCs w:val="22"/>
        </w:rPr>
        <w:t xml:space="preserve">The Dashboard provides a real-time executive overview of your organization's GRC posture. It displays summary metrics across all modules in a single view.</w:t>
      </w:r>
    </w:p>
    <w:p>
      <w:pPr>
        <w:pStyle w:val="Heading2"/>
        <w:spacing w:after="150" w:before="300"/>
      </w:pPr>
      <w:r>
        <w:rPr>
          <w:rFonts w:ascii="Arial" w:cs="Arial" w:eastAsia="Arial" w:hAnsi="Arial"/>
          <w:b/>
          <w:bCs/>
          <w:color w:val="333333"/>
          <w:sz w:val="26"/>
          <w:szCs w:val="26"/>
        </w:rPr>
        <w:t xml:space="preserve">Metrics Displayed</w:t>
      </w:r>
    </w:p>
    <w:p>
      <w:pPr>
        <w:pStyle w:val="ListParagraph"/>
        <w:numPr>
          <w:ilvl w:val="0"/>
          <w:numId w:val="2"/>
        </w:numPr>
      </w:pPr>
      <w:r>
        <w:rPr>
          <w:rFonts w:ascii="Arial" w:cs="Arial" w:eastAsia="Arial" w:hAnsi="Arial"/>
          <w:sz w:val="22"/>
          <w:szCs w:val="22"/>
        </w:rPr>
        <w:t xml:space="preserve">Open Audits: Count of audits not yet in Completed status</w:t>
      </w:r>
    </w:p>
    <w:p>
      <w:pPr>
        <w:pStyle w:val="ListParagraph"/>
        <w:numPr>
          <w:ilvl w:val="0"/>
          <w:numId w:val="2"/>
        </w:numPr>
      </w:pPr>
      <w:r>
        <w:rPr>
          <w:rFonts w:ascii="Arial" w:cs="Arial" w:eastAsia="Arial" w:hAnsi="Arial"/>
          <w:sz w:val="22"/>
          <w:szCs w:val="22"/>
        </w:rPr>
        <w:t xml:space="preserve">Critical Risks: Count of risks with residual score of 20 or higher</w:t>
      </w:r>
    </w:p>
    <w:p>
      <w:pPr>
        <w:pStyle w:val="ListParagraph"/>
        <w:numPr>
          <w:ilvl w:val="0"/>
          <w:numId w:val="2"/>
        </w:numPr>
      </w:pPr>
      <w:r>
        <w:rPr>
          <w:rFonts w:ascii="Arial" w:cs="Arial" w:eastAsia="Arial" w:hAnsi="Arial"/>
          <w:sz w:val="22"/>
          <w:szCs w:val="22"/>
        </w:rPr>
        <w:t xml:space="preserve">Open Findings: Count of audit findings with Open status</w:t>
      </w:r>
    </w:p>
    <w:p>
      <w:pPr>
        <w:pStyle w:val="ListParagraph"/>
        <w:numPr>
          <w:ilvl w:val="0"/>
          <w:numId w:val="2"/>
        </w:numPr>
        <w:spacing w:after="200"/>
      </w:pPr>
      <w:r>
        <w:rPr>
          <w:rFonts w:ascii="Arial" w:cs="Arial" w:eastAsia="Arial" w:hAnsi="Arial"/>
          <w:sz w:val="22"/>
          <w:szCs w:val="22"/>
        </w:rPr>
        <w:t xml:space="preserve">Compliance Score: Percentage of controls in Implemented status</w:t>
      </w:r>
    </w:p>
    <w:p>
      <w:pPr>
        <w:spacing w:after="160"/>
      </w:pPr>
      <w:r>
        <w:rPr>
          <w:rFonts w:ascii="Arial" w:cs="Arial" w:eastAsia="Arial" w:hAnsi="Arial"/>
          <w:color w:val="444444"/>
          <w:sz w:val="22"/>
          <w:szCs w:val="22"/>
        </w:rPr>
        <w:t xml:space="preserve">The Risk Distribution bar chart shows the count of risks at each severity level (Critical, High, Medium, Low). The Compliance Coverage donut chart shows the percentage of implemented controls. The Recent Audits list shows the 6 most recent audits with status badges.</w:t>
      </w:r>
    </w:p>
    <w:p>
      <w:r>
        <w:br w:type="page"/>
      </w:r>
    </w:p>
    <w:p>
      <w:pPr>
        <w:pStyle w:val="Heading1"/>
        <w:spacing w:after="200" w:before="400"/>
      </w:pPr>
      <w:r>
        <w:rPr>
          <w:rFonts w:ascii="Arial" w:cs="Arial" w:eastAsia="Arial" w:hAnsi="Arial"/>
          <w:b/>
          <w:bCs/>
          <w:color w:val="1A6B66"/>
          <w:sz w:val="32"/>
          <w:szCs w:val="32"/>
        </w:rPr>
        <w:t xml:space="preserve">4. Audit Collection Module</w:t>
      </w:r>
    </w:p>
    <w:p>
      <w:pPr>
        <w:spacing w:after="160"/>
      </w:pPr>
      <w:r>
        <w:rPr>
          <w:rFonts w:ascii="Arial" w:cs="Arial" w:eastAsia="Arial" w:hAnsi="Arial"/>
          <w:color w:val="444444"/>
          <w:sz w:val="22"/>
          <w:szCs w:val="22"/>
        </w:rPr>
        <w:t xml:space="preserve">The Audit Collection module is the primary workspace for managing compliance audits. It supports the full audit lifecycle from planning through completion, with finding documentation and evidence tracking.</w:t>
      </w:r>
    </w:p>
    <w:p>
      <w:pPr>
        <w:pStyle w:val="Heading2"/>
        <w:spacing w:after="150" w:before="300"/>
      </w:pPr>
      <w:r>
        <w:rPr>
          <w:rFonts w:ascii="Arial" w:cs="Arial" w:eastAsia="Arial" w:hAnsi="Arial"/>
          <w:b/>
          <w:bCs/>
          <w:color w:val="333333"/>
          <w:sz w:val="26"/>
          <w:szCs w:val="26"/>
        </w:rPr>
        <w:t xml:space="preserve">Creating an Audit</w:t>
      </w:r>
    </w:p>
    <w:p>
      <w:pPr>
        <w:spacing w:after="160"/>
      </w:pPr>
      <w:r>
        <w:rPr>
          <w:rFonts w:ascii="Arial" w:cs="Arial" w:eastAsia="Arial" w:hAnsi="Arial"/>
          <w:color w:val="444444"/>
          <w:sz w:val="22"/>
          <w:szCs w:val="22"/>
        </w:rPr>
        <w:t xml:space="preserve">Click the 'New Audit' button to open the creation form. Required fields include Audit Name and Framework. Select from seven supported frameworks: NIST CSF, ISO 27001, SOC 2, HIPAA, PCI DSS, GDPR, and CMMC. Define the audit scope, assign a lead auditor, set start and end dates, and add any notes or objectives.</w:t>
      </w:r>
    </w:p>
    <w:p>
      <w:pPr>
        <w:pStyle w:val="Heading2"/>
        <w:spacing w:after="150" w:before="300"/>
      </w:pPr>
      <w:r>
        <w:rPr>
          <w:rFonts w:ascii="Arial" w:cs="Arial" w:eastAsia="Arial" w:hAnsi="Arial"/>
          <w:b/>
          <w:bCs/>
          <w:color w:val="333333"/>
          <w:sz w:val="26"/>
          <w:szCs w:val="26"/>
        </w:rPr>
        <w:t xml:space="preserve">Audit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Arial" w:cs="Arial" w:eastAsia="Arial" w:hAnsi="Arial"/>
                <w:b/>
                <w:bCs/>
                <w:color w:val="1A6B66"/>
                <w:sz w:val="20"/>
                <w:szCs w:val="20"/>
              </w:rPr>
              <w:t xml:space="preserve">Stage</w:t>
            </w:r>
          </w:p>
        </w:tc>
        <w:tc>
          <w:tcPr>
            <w:tcW w:type="dxa" w:w="716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Arial" w:cs="Arial" w:eastAsia="Arial" w:hAnsi="Arial"/>
                <w:b/>
                <w:bCs/>
                <w:color w:val="1A6B66"/>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Planning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Define scope, objectives, resource requirements, and audit schedule. Identify key stakeholders and prepare audit programs.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 Progress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Execute control testing, collect evidence, conduct interviews, and document findings as they are identified.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Review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Quality assurance of findings, validate evidence completeness, review with auditee, and draft the audit report.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Completed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Finalize and distribute the audit report. Track remediation of findings through closure.</w:t>
            </w:r>
          </w:p>
        </w:tc>
      </w:tr>
    </w:tbl>
    <w:p>
      <w:pPr>
        <w:pStyle w:val="Heading2"/>
        <w:spacing w:after="150" w:before="300"/>
      </w:pPr>
      <w:r>
        <w:rPr>
          <w:rFonts w:ascii="Arial" w:cs="Arial" w:eastAsia="Arial" w:hAnsi="Arial"/>
          <w:b/>
          <w:bCs/>
          <w:color w:val="333333"/>
          <w:sz w:val="26"/>
          <w:szCs w:val="26"/>
        </w:rPr>
        <w:t xml:space="preserve">Recording Findings</w:t>
      </w:r>
    </w:p>
    <w:p>
      <w:pPr>
        <w:spacing w:after="160"/>
      </w:pPr>
      <w:r>
        <w:rPr>
          <w:rFonts w:ascii="Arial" w:cs="Arial" w:eastAsia="Arial" w:hAnsi="Arial"/>
          <w:color w:val="444444"/>
          <w:sz w:val="22"/>
          <w:szCs w:val="22"/>
        </w:rPr>
        <w:t xml:space="preserve">Open an audit by clicking its row in the table. In the detail view, click 'Add Finding' to document an observation. Each finding requires:</w:t>
      </w:r>
    </w:p>
    <w:p>
      <w:pPr>
        <w:pStyle w:val="ListParagraph"/>
        <w:numPr>
          <w:ilvl w:val="0"/>
          <w:numId w:val="2"/>
        </w:numPr>
      </w:pPr>
      <w:r>
        <w:rPr>
          <w:rFonts w:ascii="Arial" w:cs="Arial" w:eastAsia="Arial" w:hAnsi="Arial"/>
          <w:sz w:val="22"/>
          <w:szCs w:val="22"/>
        </w:rPr>
        <w:t xml:space="preserve">Title: Brief descriptive name (e.g., 'Missing MFA on admin accounts')</w:t>
      </w:r>
    </w:p>
    <w:p>
      <w:pPr>
        <w:pStyle w:val="ListParagraph"/>
        <w:numPr>
          <w:ilvl w:val="0"/>
          <w:numId w:val="2"/>
        </w:numPr>
      </w:pPr>
      <w:r>
        <w:rPr>
          <w:rFonts w:ascii="Arial" w:cs="Arial" w:eastAsia="Arial" w:hAnsi="Arial"/>
          <w:sz w:val="22"/>
          <w:szCs w:val="22"/>
        </w:rPr>
        <w:t xml:space="preserve">Severity: Critical, High, Medium, or Low based on risk impact</w:t>
      </w:r>
    </w:p>
    <w:p>
      <w:pPr>
        <w:pStyle w:val="ListParagraph"/>
        <w:numPr>
          <w:ilvl w:val="0"/>
          <w:numId w:val="2"/>
        </w:numPr>
      </w:pPr>
      <w:r>
        <w:rPr>
          <w:rFonts w:ascii="Arial" w:cs="Arial" w:eastAsia="Arial" w:hAnsi="Arial"/>
          <w:sz w:val="22"/>
          <w:szCs w:val="22"/>
        </w:rPr>
        <w:t xml:space="preserve">Related Control: The framework control ID this finding maps to</w:t>
      </w:r>
    </w:p>
    <w:p>
      <w:pPr>
        <w:pStyle w:val="ListParagraph"/>
        <w:numPr>
          <w:ilvl w:val="0"/>
          <w:numId w:val="2"/>
        </w:numPr>
      </w:pPr>
      <w:r>
        <w:rPr>
          <w:rFonts w:ascii="Arial" w:cs="Arial" w:eastAsia="Arial" w:hAnsi="Arial"/>
          <w:sz w:val="22"/>
          <w:szCs w:val="22"/>
        </w:rPr>
        <w:t xml:space="preserve">Description: Detailed explanation of the observation, including evidence reviewed</w:t>
      </w:r>
    </w:p>
    <w:p>
      <w:pPr>
        <w:pStyle w:val="ListParagraph"/>
        <w:numPr>
          <w:ilvl w:val="0"/>
          <w:numId w:val="2"/>
        </w:numPr>
        <w:spacing w:after="200"/>
      </w:pPr>
      <w:r>
        <w:rPr>
          <w:rFonts w:ascii="Arial" w:cs="Arial" w:eastAsia="Arial" w:hAnsi="Arial"/>
          <w:sz w:val="22"/>
          <w:szCs w:val="22"/>
        </w:rPr>
        <w:t xml:space="preserve">Recommendation: Specific remediation steps with target timeline</w:t>
      </w:r>
    </w:p>
    <w:p>
      <w:r>
        <w:br w:type="page"/>
      </w:r>
    </w:p>
    <w:p>
      <w:pPr>
        <w:pStyle w:val="Heading1"/>
        <w:spacing w:after="200" w:before="400"/>
      </w:pPr>
      <w:r>
        <w:rPr>
          <w:rFonts w:ascii="Arial" w:cs="Arial" w:eastAsia="Arial" w:hAnsi="Arial"/>
          <w:b/>
          <w:bCs/>
          <w:color w:val="1A6B66"/>
          <w:sz w:val="32"/>
          <w:szCs w:val="32"/>
        </w:rPr>
        <w:t xml:space="preserve">5. Risk Register Module</w:t>
      </w:r>
    </w:p>
    <w:p>
      <w:pPr>
        <w:spacing w:after="160"/>
      </w:pPr>
      <w:r>
        <w:rPr>
          <w:rFonts w:ascii="Arial" w:cs="Arial" w:eastAsia="Arial" w:hAnsi="Arial"/>
          <w:color w:val="444444"/>
          <w:sz w:val="22"/>
          <w:szCs w:val="22"/>
        </w:rPr>
        <w:t xml:space="preserve">The Risk Register provides a structured approach to identifying, assessing, and treating enterprise risks. Each risk is quantitatively scored using a Likelihood x Impact methodology with control effectiveness reduction.</w:t>
      </w:r>
    </w:p>
    <w:p>
      <w:pPr>
        <w:pStyle w:val="Heading2"/>
        <w:spacing w:after="150" w:before="300"/>
      </w:pPr>
      <w:r>
        <w:rPr>
          <w:rFonts w:ascii="Arial" w:cs="Arial" w:eastAsia="Arial" w:hAnsi="Arial"/>
          <w:b/>
          <w:bCs/>
          <w:color w:val="333333"/>
          <w:sz w:val="26"/>
          <w:szCs w:val="26"/>
        </w:rPr>
        <w:t xml:space="preserve">Risk Assessment Process</w:t>
      </w:r>
    </w:p>
    <w:p>
      <w:pPr>
        <w:spacing w:after="160"/>
      </w:pPr>
      <w:r>
        <w:rPr>
          <w:rFonts w:ascii="Arial" w:cs="Arial" w:eastAsia="Arial" w:hAnsi="Arial"/>
          <w:b/>
          <w:bCs/>
          <w:color w:val="333333"/>
          <w:sz w:val="22"/>
          <w:szCs w:val="22"/>
        </w:rPr>
        <w:t xml:space="preserve">Step 1: </w:t>
      </w:r>
      <w:r>
        <w:rPr>
          <w:rFonts w:ascii="Arial" w:cs="Arial" w:eastAsia="Arial" w:hAnsi="Arial"/>
          <w:color w:val="444444"/>
          <w:sz w:val="22"/>
          <w:szCs w:val="22"/>
        </w:rPr>
        <w:t xml:space="preserve">Click 'Add Risk' and provide a descriptive name and category (Operational, Financial, Strategic, Compliance, Reputational, Cybersecurity, Legal, or Environmental).</w:t>
      </w:r>
    </w:p>
    <w:p>
      <w:pPr>
        <w:spacing w:after="160"/>
      </w:pPr>
      <w:r>
        <w:rPr>
          <w:rFonts w:ascii="Arial" w:cs="Arial" w:eastAsia="Arial" w:hAnsi="Arial"/>
          <w:b/>
          <w:bCs/>
          <w:color w:val="333333"/>
          <w:sz w:val="22"/>
          <w:szCs w:val="22"/>
        </w:rPr>
        <w:t xml:space="preserve">Step 2: </w:t>
      </w:r>
      <w:r>
        <w:rPr>
          <w:rFonts w:ascii="Arial" w:cs="Arial" w:eastAsia="Arial" w:hAnsi="Arial"/>
          <w:color w:val="444444"/>
          <w:sz w:val="22"/>
          <w:szCs w:val="22"/>
        </w:rPr>
        <w:t xml:space="preserve">Set Likelihood (1-5) representing the probability of occurrence. 1 = Rare, 2 = Unlikely, 3 = Possible, 4 = Likely, 5 = Almost Certain.</w:t>
      </w:r>
    </w:p>
    <w:p>
      <w:pPr>
        <w:spacing w:after="160"/>
      </w:pPr>
      <w:r>
        <w:rPr>
          <w:rFonts w:ascii="Arial" w:cs="Arial" w:eastAsia="Arial" w:hAnsi="Arial"/>
          <w:b/>
          <w:bCs/>
          <w:color w:val="333333"/>
          <w:sz w:val="22"/>
          <w:szCs w:val="22"/>
        </w:rPr>
        <w:t xml:space="preserve">Step 3: </w:t>
      </w:r>
      <w:r>
        <w:rPr>
          <w:rFonts w:ascii="Arial" w:cs="Arial" w:eastAsia="Arial" w:hAnsi="Arial"/>
          <w:color w:val="444444"/>
          <w:sz w:val="22"/>
          <w:szCs w:val="22"/>
        </w:rPr>
        <w:t xml:space="preserve">Set Impact (1-5) representing the business impact if the risk materializes. 1 = Negligible, 2 = Minor, 3 = Moderate, 4 = Major, 5 = Catastrophic.</w:t>
      </w:r>
    </w:p>
    <w:p>
      <w:pPr>
        <w:spacing w:after="160"/>
      </w:pPr>
      <w:r>
        <w:rPr>
          <w:rFonts w:ascii="Arial" w:cs="Arial" w:eastAsia="Arial" w:hAnsi="Arial"/>
          <w:b/>
          <w:bCs/>
          <w:color w:val="333333"/>
          <w:sz w:val="22"/>
          <w:szCs w:val="22"/>
        </w:rPr>
        <w:t xml:space="preserve">Step 4: </w:t>
      </w:r>
      <w:r>
        <w:rPr>
          <w:rFonts w:ascii="Arial" w:cs="Arial" w:eastAsia="Arial" w:hAnsi="Arial"/>
          <w:color w:val="444444"/>
          <w:sz w:val="22"/>
          <w:szCs w:val="22"/>
        </w:rPr>
        <w:t xml:space="preserve">Set Control Effectiveness (0-100%) representing how effectively existing controls mitigate this risk.</w:t>
      </w:r>
    </w:p>
    <w:p>
      <w:pPr>
        <w:spacing w:after="160"/>
      </w:pPr>
      <w:r>
        <w:rPr>
          <w:rFonts w:ascii="Arial" w:cs="Arial" w:eastAsia="Arial" w:hAnsi="Arial"/>
          <w:b/>
          <w:bCs/>
          <w:color w:val="333333"/>
          <w:sz w:val="22"/>
          <w:szCs w:val="22"/>
        </w:rPr>
        <w:t xml:space="preserve">Step 5: </w:t>
      </w:r>
      <w:r>
        <w:rPr>
          <w:rFonts w:ascii="Arial" w:cs="Arial" w:eastAsia="Arial" w:hAnsi="Arial"/>
          <w:color w:val="444444"/>
          <w:sz w:val="22"/>
          <w:szCs w:val="22"/>
        </w:rPr>
        <w:t xml:space="preserve">Select a Treatment strategy: Mitigate, Accept, Transfer, or Avoid.</w:t>
      </w:r>
    </w:p>
    <w:p>
      <w:pPr>
        <w:pStyle w:val="Heading2"/>
        <w:spacing w:after="150" w:before="300"/>
      </w:pPr>
      <w:r>
        <w:rPr>
          <w:rFonts w:ascii="Arial" w:cs="Arial" w:eastAsia="Arial" w:hAnsi="Arial"/>
          <w:b/>
          <w:bCs/>
          <w:color w:val="333333"/>
          <w:sz w:val="26"/>
          <w:szCs w:val="26"/>
        </w:rPr>
        <w:t xml:space="preserve">Risk Scoring Formulas</w:t>
      </w:r>
    </w:p>
    <w:p>
      <w:pPr>
        <w:spacing w:after="160"/>
      </w:pPr>
      <w:r>
        <w:rPr>
          <w:rFonts w:ascii="Arial" w:cs="Arial" w:eastAsia="Arial" w:hAnsi="Arial"/>
          <w:color w:val="444444"/>
          <w:sz w:val="22"/>
          <w:szCs w:val="22"/>
        </w:rPr>
        <w:t xml:space="preserve">Raw Score = Likelihood x Impact (range: 1-25)</w:t>
      </w:r>
    </w:p>
    <w:p>
      <w:pPr>
        <w:spacing w:after="160"/>
      </w:pPr>
      <w:r>
        <w:rPr>
          <w:rFonts w:ascii="Arial" w:cs="Arial" w:eastAsia="Arial" w:hAnsi="Arial"/>
          <w:color w:val="444444"/>
          <w:sz w:val="22"/>
          <w:szCs w:val="22"/>
        </w:rPr>
        <w:t xml:space="preserve">Residual Score = Raw Score x (1 - Control Effectiveness / 100)</w:t>
      </w:r>
    </w:p>
    <w:p>
      <w:pPr>
        <w:pStyle w:val="Heading2"/>
        <w:spacing w:after="150" w:before="300"/>
      </w:pPr>
      <w:r>
        <w:rPr>
          <w:rFonts w:ascii="Arial" w:cs="Arial" w:eastAsia="Arial" w:hAnsi="Arial"/>
          <w:b/>
          <w:bCs/>
          <w:color w:val="333333"/>
          <w:sz w:val="26"/>
          <w:szCs w:val="26"/>
        </w:rPr>
        <w:t xml:space="preserve">Risk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Arial" w:cs="Arial" w:eastAsia="Arial" w:hAnsi="Arial"/>
                <w:b/>
                <w:bCs/>
                <w:color w:val="1A6B66"/>
                <w:sz w:val="20"/>
                <w:szCs w:val="20"/>
              </w:rPr>
              <w:t xml:space="preserve">Level</w:t>
            </w:r>
          </w:p>
        </w:tc>
        <w:tc>
          <w:tcPr>
            <w:tcW w:type="dxa" w:w="2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Arial" w:cs="Arial" w:eastAsia="Arial" w:hAnsi="Arial"/>
                <w:b/>
                <w:bCs/>
                <w:color w:val="1A6B66"/>
                <w:sz w:val="20"/>
                <w:szCs w:val="20"/>
              </w:rPr>
              <w:t xml:space="preserve">Score Range</w:t>
            </w:r>
          </w:p>
        </w:tc>
        <w:tc>
          <w:tcPr>
            <w:tcW w:type="dxa" w:w="536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Arial" w:cs="Arial" w:eastAsia="Arial" w:hAnsi="Arial"/>
                <w:b/>
                <w:bCs/>
                <w:color w:val="1A6B66"/>
                <w:sz w:val="20"/>
                <w:szCs w:val="20"/>
              </w:rPr>
              <w:t xml:space="preserve">Response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20 - 25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Immediate executive action required. Remediate within 7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12 - 19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Priority remediation within 30 days. Management visibility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6 - 11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Planned remediation within 90 days. Include in quarterly risk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1 - 5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Accept and monitor. Review annually during risk assessment cycle.</w:t>
            </w:r>
          </w:p>
        </w:tc>
      </w:tr>
    </w:tbl>
    <w:p>
      <w:pPr>
        <w:pStyle w:val="Heading2"/>
        <w:spacing w:after="150" w:before="300"/>
      </w:pPr>
      <w:r>
        <w:rPr>
          <w:rFonts w:ascii="Arial" w:cs="Arial" w:eastAsia="Arial" w:hAnsi="Arial"/>
          <w:b/>
          <w:bCs/>
          <w:color w:val="333333"/>
          <w:sz w:val="26"/>
          <w:szCs w:val="26"/>
        </w:rPr>
        <w:t xml:space="preserve">Heat Map</w:t>
      </w:r>
    </w:p>
    <w:p>
      <w:pPr>
        <w:spacing w:after="160"/>
      </w:pPr>
      <w:r>
        <w:rPr>
          <w:rFonts w:ascii="Arial" w:cs="Arial" w:eastAsia="Arial" w:hAnsi="Arial"/>
          <w:color w:val="444444"/>
          <w:sz w:val="22"/>
          <w:szCs w:val="22"/>
        </w:rPr>
        <w:t xml:space="preserve">The 5x5 heat map plots all registered risks by their Likelihood (Y-axis) and Impact (X-axis) coordinates. Each cell shows the inherent score (Likelihood x Impact). Cells with a highlighted border indicate one or more risks at that position. Use the heat map to identify risk clusters and prioritize treatment plans.</w:t>
      </w:r>
    </w:p>
    <w:p>
      <w:r>
        <w:br w:type="page"/>
      </w:r>
    </w:p>
    <w:p>
      <w:pPr>
        <w:pStyle w:val="Heading1"/>
        <w:spacing w:after="200" w:before="400"/>
      </w:pPr>
      <w:r>
        <w:rPr>
          <w:rFonts w:ascii="Arial" w:cs="Arial" w:eastAsia="Arial" w:hAnsi="Arial"/>
          <w:b/>
          <w:bCs/>
          <w:color w:val="1A6B66"/>
          <w:sz w:val="32"/>
          <w:szCs w:val="32"/>
        </w:rPr>
        <w:t xml:space="preserve">6. Risk Benchmarks Module</w:t>
      </w:r>
    </w:p>
    <w:p>
      <w:pPr>
        <w:spacing w:after="160"/>
      </w:pPr>
      <w:r>
        <w:rPr>
          <w:rFonts w:ascii="Arial" w:cs="Arial" w:eastAsia="Arial" w:hAnsi="Arial"/>
          <w:color w:val="444444"/>
          <w:sz w:val="22"/>
          <w:szCs w:val="22"/>
        </w:rPr>
        <w:t xml:space="preserve">The Benchmarks module provides industry-specific risk data to help quantify your organization's true risk exposure in financial terms. This data supports budget justification and executive communication.</w:t>
      </w:r>
    </w:p>
    <w:p>
      <w:pPr>
        <w:pStyle w:val="Heading2"/>
        <w:spacing w:after="150" w:before="300"/>
      </w:pPr>
      <w:r>
        <w:rPr>
          <w:rFonts w:ascii="Arial" w:cs="Arial" w:eastAsia="Arial" w:hAnsi="Arial"/>
          <w:b/>
          <w:bCs/>
          <w:color w:val="333333"/>
          <w:sz w:val="26"/>
          <w:szCs w:val="26"/>
        </w:rPr>
        <w:t xml:space="preserve">Company Profile Configuration</w:t>
      </w:r>
    </w:p>
    <w:p>
      <w:pPr>
        <w:spacing w:after="160"/>
      </w:pPr>
      <w:r>
        <w:rPr>
          <w:rFonts w:ascii="Arial" w:cs="Arial" w:eastAsia="Arial" w:hAnsi="Arial"/>
          <w:color w:val="444444"/>
          <w:sz w:val="22"/>
          <w:szCs w:val="22"/>
        </w:rPr>
        <w:t xml:space="preserve">Configure your company profile by selecting your Industry (8 sectors available), Company Size (Small to Enterprise), and Annual Revenue. The benchmark engine adjusts all financial estimates based on these parameters.</w:t>
      </w:r>
    </w:p>
    <w:p>
      <w:pPr>
        <w:pStyle w:val="Heading2"/>
        <w:spacing w:after="150" w:before="300"/>
      </w:pPr>
      <w:r>
        <w:rPr>
          <w:rFonts w:ascii="Arial" w:cs="Arial" w:eastAsia="Arial" w:hAnsi="Arial"/>
          <w:b/>
          <w:bCs/>
          <w:color w:val="333333"/>
          <w:sz w:val="26"/>
          <w:szCs w:val="26"/>
        </w:rPr>
        <w:t xml:space="preserve">Financial Impact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Arial" w:cs="Arial" w:eastAsia="Arial" w:hAnsi="Arial"/>
                <w:b/>
                <w:bCs/>
                <w:color w:val="1A6B66"/>
                <w:sz w:val="20"/>
                <w:szCs w:val="20"/>
              </w:rPr>
              <w:t xml:space="preserve">Metric</w:t>
            </w:r>
          </w:p>
        </w:tc>
        <w:tc>
          <w:tcPr>
            <w:tcW w:type="dxa" w:w="636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Arial" w:cs="Arial" w:eastAsia="Arial" w:hAnsi="Arial"/>
                <w:b/>
                <w:bCs/>
                <w:color w:val="1A6B66"/>
                <w:sz w:val="20"/>
                <w:szCs w:val="20"/>
              </w:rPr>
              <w:t xml:space="preserve">Calculation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Est. Breach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Industry baseline x Size multiplier x Revenue factor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Est. Compliance Fines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Industry fine baseline x Size multiplier x Revenue factor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Annual Expected Loss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(Breach Cost x Attack Surface + Fines x Regulatory Burden) x (Incidents / 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Risk Capital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AEL x 1.5 (buffer for tail-risk events)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Risk Index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(Avg Residual Score / 25) x 100 x Attack Surface (0-100 scale)</w:t>
            </w:r>
          </w:p>
        </w:tc>
      </w:tr>
    </w:tbl>
    <w:p>
      <w:pPr>
        <w:pStyle w:val="Heading2"/>
        <w:spacing w:after="150" w:before="300"/>
      </w:pPr>
      <w:r>
        <w:rPr>
          <w:rFonts w:ascii="Arial" w:cs="Arial" w:eastAsia="Arial" w:hAnsi="Arial"/>
          <w:b/>
          <w:bCs/>
          <w:color w:val="333333"/>
          <w:sz w:val="26"/>
          <w:szCs w:val="26"/>
        </w:rPr>
        <w:t xml:space="preserve">Industry Comparison</w:t>
      </w:r>
    </w:p>
    <w:p>
      <w:pPr>
        <w:spacing w:after="160"/>
      </w:pPr>
      <w:r>
        <w:rPr>
          <w:rFonts w:ascii="Arial" w:cs="Arial" w:eastAsia="Arial" w:hAnsi="Arial"/>
          <w:color w:val="444444"/>
          <w:sz w:val="22"/>
          <w:szCs w:val="22"/>
        </w:rPr>
        <w:t xml:space="preserve">The comparison table shows benchmark data across all 8 sectors including average data breach cost, annual incident frequency, attack surface percentage, and regulatory burden score. Your selected industry is highlighted. Use this comparison in executive presentations to contextualize your organization's risk posture against industry peers.</w:t>
      </w:r>
    </w:p>
    <w:p>
      <w:r>
        <w:br w:type="page"/>
      </w:r>
    </w:p>
    <w:p>
      <w:pPr>
        <w:pStyle w:val="Heading1"/>
        <w:spacing w:after="200" w:before="400"/>
      </w:pPr>
      <w:r>
        <w:rPr>
          <w:rFonts w:ascii="Arial" w:cs="Arial" w:eastAsia="Arial" w:hAnsi="Arial"/>
          <w:b/>
          <w:bCs/>
          <w:color w:val="1A6B66"/>
          <w:sz w:val="32"/>
          <w:szCs w:val="32"/>
        </w:rPr>
        <w:t xml:space="preserve">7. Compliance Tracking Module</w:t>
      </w:r>
    </w:p>
    <w:p>
      <w:pPr>
        <w:spacing w:after="160"/>
      </w:pPr>
      <w:r>
        <w:rPr>
          <w:rFonts w:ascii="Arial" w:cs="Arial" w:eastAsia="Arial" w:hAnsi="Arial"/>
          <w:color w:val="444444"/>
          <w:sz w:val="22"/>
          <w:szCs w:val="22"/>
        </w:rPr>
        <w:t xml:space="preserve">The Compliance module maps your organizational controls to specific framework requirements and tracks implementation status across all supported frameworks.</w:t>
      </w:r>
    </w:p>
    <w:p>
      <w:pPr>
        <w:pStyle w:val="Heading2"/>
        <w:spacing w:after="150" w:before="300"/>
      </w:pPr>
      <w:r>
        <w:rPr>
          <w:rFonts w:ascii="Arial" w:cs="Arial" w:eastAsia="Arial" w:hAnsi="Arial"/>
          <w:b/>
          <w:bCs/>
          <w:color w:val="333333"/>
          <w:sz w:val="26"/>
          <w:szCs w:val="26"/>
        </w:rPr>
        <w:t xml:space="preserve">Framework Selection</w:t>
      </w:r>
    </w:p>
    <w:p>
      <w:pPr>
        <w:spacing w:after="160"/>
      </w:pPr>
      <w:r>
        <w:rPr>
          <w:rFonts w:ascii="Arial" w:cs="Arial" w:eastAsia="Arial" w:hAnsi="Arial"/>
          <w:color w:val="444444"/>
          <w:sz w:val="22"/>
          <w:szCs w:val="22"/>
        </w:rPr>
        <w:t xml:space="preserve">Select a framework using the pill buttons at the top of the module. The control table filters to show only controls mapped to the selected framework. GRC Vault supports seven major frameworks with pre-defined control IDs.</w:t>
      </w:r>
    </w:p>
    <w:p>
      <w:pPr>
        <w:pStyle w:val="Heading2"/>
        <w:spacing w:after="150" w:before="300"/>
      </w:pPr>
      <w:r>
        <w:rPr>
          <w:rFonts w:ascii="Arial" w:cs="Arial" w:eastAsia="Arial" w:hAnsi="Arial"/>
          <w:b/>
          <w:bCs/>
          <w:color w:val="333333"/>
          <w:sz w:val="26"/>
          <w:szCs w:val="26"/>
        </w:rPr>
        <w:t xml:space="preserve">Adding Controls</w:t>
      </w:r>
    </w:p>
    <w:p>
      <w:pPr>
        <w:spacing w:after="160"/>
      </w:pPr>
      <w:r>
        <w:rPr>
          <w:rFonts w:ascii="Arial" w:cs="Arial" w:eastAsia="Arial" w:hAnsi="Arial"/>
          <w:color w:val="444444"/>
          <w:sz w:val="22"/>
          <w:szCs w:val="22"/>
        </w:rPr>
        <w:t xml:space="preserve">Click 'Add Control' to map a new organizational control. Select the Control ID from the framework's pre-defined list, provide a descriptive name, set the implementation status (Not Started, Partially Implemented, or Implemented), and assign an owner.</w:t>
      </w:r>
    </w:p>
    <w:p>
      <w:pPr>
        <w:pStyle w:val="Heading2"/>
        <w:spacing w:after="150" w:before="300"/>
      </w:pPr>
      <w:r>
        <w:rPr>
          <w:rFonts w:ascii="Arial" w:cs="Arial" w:eastAsia="Arial" w:hAnsi="Arial"/>
          <w:b/>
          <w:bCs/>
          <w:color w:val="333333"/>
          <w:sz w:val="26"/>
          <w:szCs w:val="26"/>
        </w:rPr>
        <w:t xml:space="preserve">Coverage Calculation</w:t>
      </w:r>
    </w:p>
    <w:p>
      <w:pPr>
        <w:spacing w:after="160"/>
      </w:pPr>
      <w:r>
        <w:rPr>
          <w:rFonts w:ascii="Arial" w:cs="Arial" w:eastAsia="Arial" w:hAnsi="Arial"/>
          <w:color w:val="444444"/>
          <w:sz w:val="22"/>
          <w:szCs w:val="22"/>
        </w:rPr>
        <w:t xml:space="preserve">Compliance coverage is calculated as: (Fully Implemented + Partially Implemented x 50%) / Total Controls. The coverage bar shows progress toward full implementation. Aim for 100% coverage before audit readiness assessments.</w:t>
      </w:r>
    </w:p>
    <w:p>
      <w:r>
        <w:br w:type="page"/>
      </w:r>
    </w:p>
    <w:p>
      <w:pPr>
        <w:pStyle w:val="Heading1"/>
        <w:spacing w:after="200" w:before="400"/>
      </w:pPr>
      <w:r>
        <w:rPr>
          <w:rFonts w:ascii="Arial" w:cs="Arial" w:eastAsia="Arial" w:hAnsi="Arial"/>
          <w:b/>
          <w:bCs/>
          <w:color w:val="1A6B66"/>
          <w:sz w:val="32"/>
          <w:szCs w:val="32"/>
        </w:rPr>
        <w:t xml:space="preserve">8. Governance Module</w:t>
      </w:r>
    </w:p>
    <w:p>
      <w:pPr>
        <w:spacing w:after="160"/>
      </w:pPr>
      <w:r>
        <w:rPr>
          <w:rFonts w:ascii="Arial" w:cs="Arial" w:eastAsia="Arial" w:hAnsi="Arial"/>
          <w:color w:val="444444"/>
          <w:sz w:val="22"/>
          <w:szCs w:val="22"/>
        </w:rPr>
        <w:t xml:space="preserve">The Governance module provides document lifecycle management for policies, procedures, standards, guidelines, and plans. Each document tracks version, approval status, ownership, and scheduled review dates.</w:t>
      </w:r>
    </w:p>
    <w:p>
      <w:pPr>
        <w:pStyle w:val="Heading2"/>
        <w:spacing w:after="150" w:before="300"/>
      </w:pPr>
      <w:r>
        <w:rPr>
          <w:rFonts w:ascii="Arial" w:cs="Arial" w:eastAsia="Arial" w:hAnsi="Arial"/>
          <w:b/>
          <w:bCs/>
          <w:color w:val="333333"/>
          <w:sz w:val="26"/>
          <w:szCs w:val="26"/>
        </w:rPr>
        <w:t xml:space="preserve">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Arial" w:cs="Arial" w:eastAsia="Arial" w:hAnsi="Arial"/>
                <w:b/>
                <w:bCs/>
                <w:color w:val="1A6B66"/>
                <w:sz w:val="20"/>
                <w:szCs w:val="20"/>
              </w:rPr>
              <w:t xml:space="preserve">Type</w:t>
            </w:r>
          </w:p>
        </w:tc>
        <w:tc>
          <w:tcPr>
            <w:tcW w:type="dxa" w:w="716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Arial" w:cs="Arial" w:eastAsia="Arial" w:hAnsi="Arial"/>
                <w:b/>
                <w:bCs/>
                <w:color w:val="1A6B66"/>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Policy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High-level statement of intent and direction. Approved by executive leadership.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Procedure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Step-by-step instructions for implementing a policy requirement.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Standard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Specific technical or operational requirements that must be met.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Guideline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Recommended practices that are not mandatory but encouraged.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Plan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Action-oriented document for specific initiatives (e.g., Incident Response Plan).</w:t>
            </w:r>
          </w:p>
        </w:tc>
      </w:tr>
    </w:tbl>
    <w:p>
      <w:r>
        <w:br w:type="page"/>
      </w:r>
    </w:p>
    <w:p>
      <w:pPr>
        <w:pStyle w:val="Heading1"/>
        <w:spacing w:after="200" w:before="400"/>
      </w:pPr>
      <w:r>
        <w:rPr>
          <w:rFonts w:ascii="Arial" w:cs="Arial" w:eastAsia="Arial" w:hAnsi="Arial"/>
          <w:b/>
          <w:bCs/>
          <w:color w:val="1A6B66"/>
          <w:sz w:val="32"/>
          <w:szCs w:val="32"/>
        </w:rPr>
        <w:t xml:space="preserve">9. Reports Module</w:t>
      </w:r>
    </w:p>
    <w:p>
      <w:pPr>
        <w:spacing w:after="160"/>
      </w:pPr>
      <w:r>
        <w:rPr>
          <w:rFonts w:ascii="Arial" w:cs="Arial" w:eastAsia="Arial" w:hAnsi="Arial"/>
          <w:color w:val="444444"/>
          <w:sz w:val="22"/>
          <w:szCs w:val="22"/>
        </w:rPr>
        <w:t xml:space="preserve">The Reports module generates three report types for different audiences and purposes.</w:t>
      </w:r>
    </w:p>
    <w:p>
      <w:pPr>
        <w:spacing w:after="160"/>
      </w:pPr>
      <w:r>
        <w:rPr>
          <w:rFonts w:ascii="Arial" w:cs="Arial" w:eastAsia="Arial" w:hAnsi="Arial"/>
          <w:b/>
          <w:bCs/>
          <w:color w:val="333333"/>
          <w:sz w:val="22"/>
          <w:szCs w:val="22"/>
        </w:rPr>
        <w:t xml:space="preserve">Executive Summary: </w:t>
      </w:r>
      <w:r>
        <w:rPr>
          <w:rFonts w:ascii="Arial" w:cs="Arial" w:eastAsia="Arial" w:hAnsi="Arial"/>
          <w:color w:val="444444"/>
          <w:sz w:val="22"/>
          <w:szCs w:val="22"/>
        </w:rPr>
        <w:t xml:space="preserve">High-level overview of risk posture, compliance status, audit activity, and governance. Designed for board and executive consumption.</w:t>
      </w:r>
    </w:p>
    <w:p>
      <w:pPr>
        <w:spacing w:after="160"/>
      </w:pPr>
      <w:r>
        <w:rPr>
          <w:rFonts w:ascii="Arial" w:cs="Arial" w:eastAsia="Arial" w:hAnsi="Arial"/>
          <w:b/>
          <w:bCs/>
          <w:color w:val="333333"/>
          <w:sz w:val="22"/>
          <w:szCs w:val="22"/>
        </w:rPr>
        <w:t xml:space="preserve">Risk Register Report: </w:t>
      </w:r>
      <w:r>
        <w:rPr>
          <w:rFonts w:ascii="Arial" w:cs="Arial" w:eastAsia="Arial" w:hAnsi="Arial"/>
          <w:color w:val="444444"/>
          <w:sz w:val="22"/>
          <w:szCs w:val="22"/>
        </w:rPr>
        <w:t xml:space="preserve">Complete listing of all registered risks with scores, levels, and treatment plans. Used for quarterly risk committee reviews.</w:t>
      </w:r>
    </w:p>
    <w:p>
      <w:pPr>
        <w:spacing w:after="160"/>
      </w:pPr>
      <w:r>
        <w:rPr>
          <w:rFonts w:ascii="Arial" w:cs="Arial" w:eastAsia="Arial" w:hAnsi="Arial"/>
          <w:b/>
          <w:bCs/>
          <w:color w:val="333333"/>
          <w:sz w:val="22"/>
          <w:szCs w:val="22"/>
        </w:rPr>
        <w:t xml:space="preserve">Audit Findings Report: </w:t>
      </w:r>
      <w:r>
        <w:rPr>
          <w:rFonts w:ascii="Arial" w:cs="Arial" w:eastAsia="Arial" w:hAnsi="Arial"/>
          <w:color w:val="444444"/>
          <w:sz w:val="22"/>
          <w:szCs w:val="22"/>
        </w:rPr>
        <w:t xml:space="preserve">All findings across audits with severity, description, and recommendations. Used for remediation tracking and follow-up audits.</w:t>
      </w:r>
    </w:p>
    <w:p>
      <w:pPr>
        <w:spacing w:after="160"/>
      </w:pPr>
      <w:r>
        <w:rPr>
          <w:rFonts w:ascii="Arial" w:cs="Arial" w:eastAsia="Arial" w:hAnsi="Arial"/>
          <w:color w:val="444444"/>
          <w:sz w:val="22"/>
          <w:szCs w:val="22"/>
        </w:rPr>
        <w:t xml:space="preserve">Each report includes a generation timestamp. Reports pull live data from all modules.</w:t>
      </w:r>
    </w:p>
    <w:p>
      <w:r>
        <w:br w:type="page"/>
      </w:r>
    </w:p>
    <w:p>
      <w:pPr>
        <w:pStyle w:val="Heading1"/>
        <w:spacing w:after="200" w:before="400"/>
      </w:pPr>
      <w:r>
        <w:rPr>
          <w:rFonts w:ascii="Arial" w:cs="Arial" w:eastAsia="Arial" w:hAnsi="Arial"/>
          <w:b/>
          <w:bCs/>
          <w:color w:val="1A6B66"/>
          <w:sz w:val="32"/>
          <w:szCs w:val="32"/>
        </w:rPr>
        <w:t xml:space="preserve">10. Settings and API Configuration</w:t>
      </w:r>
    </w:p>
    <w:p>
      <w:pPr>
        <w:pStyle w:val="Heading2"/>
        <w:spacing w:after="150" w:before="300"/>
      </w:pPr>
      <w:r>
        <w:rPr>
          <w:rFonts w:ascii="Arial" w:cs="Arial" w:eastAsia="Arial" w:hAnsi="Arial"/>
          <w:b/>
          <w:bCs/>
          <w:color w:val="333333"/>
          <w:sz w:val="26"/>
          <w:szCs w:val="26"/>
        </w:rPr>
        <w:t xml:space="preserve">External API</w:t>
      </w:r>
    </w:p>
    <w:p>
      <w:pPr>
        <w:spacing w:after="160"/>
      </w:pPr>
      <w:r>
        <w:rPr>
          <w:rFonts w:ascii="Arial" w:cs="Arial" w:eastAsia="Arial" w:hAnsi="Arial"/>
          <w:color w:val="444444"/>
          <w:sz w:val="22"/>
          <w:szCs w:val="22"/>
        </w:rPr>
        <w:t xml:space="preserve">GRC Vault supports connecting to an external REST API for centralized or cloud-based storage. In the Settings module, configure the API Endpoint URL, Bearer Token for authentication, and Sync Interval in seconds. Use the 'Test Connection' button to verify connectivity.</w:t>
      </w:r>
    </w:p>
    <w:p>
      <w:pPr>
        <w:pStyle w:val="Heading2"/>
        <w:spacing w:after="150" w:before="300"/>
      </w:pPr>
      <w:r>
        <w:rPr>
          <w:rFonts w:ascii="Arial" w:cs="Arial" w:eastAsia="Arial" w:hAnsi="Arial"/>
          <w:b/>
          <w:bCs/>
          <w:color w:val="333333"/>
          <w:sz w:val="26"/>
          <w:szCs w:val="26"/>
        </w:rPr>
        <w:t xml:space="preserve">Expected API Contract</w:t>
      </w:r>
    </w:p>
    <w:p>
      <w:pPr>
        <w:spacing w:after="160"/>
      </w:pPr>
      <w:r>
        <w:rPr>
          <w:rFonts w:ascii="Arial" w:cs="Arial" w:eastAsia="Arial" w:hAnsi="Arial"/>
          <w:color w:val="444444"/>
          <w:sz w:val="22"/>
          <w:szCs w:val="22"/>
        </w:rPr>
        <w:t xml:space="preserve">GET /api/v1/{resource} — List all records. POST /api/v1/{resource} — Create a record. PUT /api/v1/{resource}/{id} — Update a record. DELETE /api/v1/{resource}/{id} — Delete a record. Resources: audits, risks, controls, policies, findings, evidence. Authentication via Bearer token in the Authorization header.</w:t>
      </w:r>
    </w:p>
    <w:p>
      <w:pPr>
        <w:pStyle w:val="Heading2"/>
        <w:spacing w:after="150" w:before="300"/>
      </w:pPr>
      <w:r>
        <w:rPr>
          <w:rFonts w:ascii="Arial" w:cs="Arial" w:eastAsia="Arial" w:hAnsi="Arial"/>
          <w:b/>
          <w:bCs/>
          <w:color w:val="333333"/>
          <w:sz w:val="26"/>
          <w:szCs w:val="26"/>
        </w:rPr>
        <w:t xml:space="preserve">Data Management</w:t>
      </w:r>
    </w:p>
    <w:p>
      <w:pPr>
        <w:spacing w:after="160"/>
      </w:pPr>
      <w:r>
        <w:rPr>
          <w:rFonts w:ascii="Arial" w:cs="Arial" w:eastAsia="Arial" w:hAnsi="Arial"/>
          <w:b/>
          <w:bCs/>
          <w:color w:val="333333"/>
          <w:sz w:val="22"/>
          <w:szCs w:val="22"/>
        </w:rPr>
        <w:t xml:space="preserve">Export: </w:t>
      </w:r>
      <w:r>
        <w:rPr>
          <w:rFonts w:ascii="Arial" w:cs="Arial" w:eastAsia="Arial" w:hAnsi="Arial"/>
          <w:color w:val="444444"/>
          <w:sz w:val="22"/>
          <w:szCs w:val="22"/>
        </w:rPr>
        <w:t xml:space="preserve">Downloads a complete JSON backup of all data stores.</w:t>
      </w:r>
    </w:p>
    <w:p>
      <w:pPr>
        <w:spacing w:after="160"/>
      </w:pPr>
      <w:r>
        <w:rPr>
          <w:rFonts w:ascii="Arial" w:cs="Arial" w:eastAsia="Arial" w:hAnsi="Arial"/>
          <w:b/>
          <w:bCs/>
          <w:color w:val="333333"/>
          <w:sz w:val="22"/>
          <w:szCs w:val="22"/>
        </w:rPr>
        <w:t xml:space="preserve">Import: </w:t>
      </w:r>
      <w:r>
        <w:rPr>
          <w:rFonts w:ascii="Arial" w:cs="Arial" w:eastAsia="Arial" w:hAnsi="Arial"/>
          <w:color w:val="444444"/>
          <w:sz w:val="22"/>
          <w:szCs w:val="22"/>
        </w:rPr>
        <w:t xml:space="preserve">Uploads a JSON file and merges records by ID. Existing records are updated; new records are inserted.</w:t>
      </w:r>
    </w:p>
    <w:p>
      <w:pPr>
        <w:spacing w:after="160"/>
      </w:pPr>
      <w:r>
        <w:rPr>
          <w:rFonts w:ascii="Arial" w:cs="Arial" w:eastAsia="Arial" w:hAnsi="Arial"/>
          <w:b/>
          <w:bCs/>
          <w:color w:val="333333"/>
          <w:sz w:val="22"/>
          <w:szCs w:val="22"/>
        </w:rPr>
        <w:t xml:space="preserve">Clear: </w:t>
      </w:r>
      <w:r>
        <w:rPr>
          <w:rFonts w:ascii="Arial" w:cs="Arial" w:eastAsia="Arial" w:hAnsi="Arial"/>
          <w:color w:val="444444"/>
          <w:sz w:val="22"/>
          <w:szCs w:val="22"/>
        </w:rPr>
        <w:t xml:space="preserve">Permanently deletes all data across all stores. This action cannot be undone.</w:t>
      </w:r>
    </w:p>
    <w:p>
      <w:r>
        <w:br w:type="page"/>
      </w:r>
    </w:p>
    <w:p>
      <w:pPr>
        <w:pStyle w:val="Heading1"/>
        <w:spacing w:after="200" w:before="400"/>
      </w:pPr>
      <w:r>
        <w:rPr>
          <w:rFonts w:ascii="Arial" w:cs="Arial" w:eastAsia="Arial" w:hAnsi="Arial"/>
          <w:b/>
          <w:bCs/>
          <w:color w:val="1A6B66"/>
          <w:sz w:val="32"/>
          <w:szCs w:val="32"/>
        </w:rPr>
        <w:t xml:space="preserve">11. Risk Scoring Methodology</w:t>
      </w:r>
    </w:p>
    <w:p>
      <w:pPr>
        <w:spacing w:after="160"/>
      </w:pPr>
      <w:r>
        <w:rPr>
          <w:rFonts w:ascii="Arial" w:cs="Arial" w:eastAsia="Arial" w:hAnsi="Arial"/>
          <w:color w:val="444444"/>
          <w:sz w:val="22"/>
          <w:szCs w:val="22"/>
        </w:rPr>
        <w:t xml:space="preserve">GRC Vault uses a multi-factor quantitative risk assessment model. The methodology combines traditional Likelihood x Impact scoring with control effectiveness measurement and industry benchmarking to provide both qualitative risk levels and financial impact estimates.</w:t>
      </w:r>
    </w:p>
    <w:p>
      <w:pPr>
        <w:pStyle w:val="Heading2"/>
        <w:spacing w:after="150" w:before="300"/>
      </w:pPr>
      <w:r>
        <w:rPr>
          <w:rFonts w:ascii="Arial" w:cs="Arial" w:eastAsia="Arial" w:hAnsi="Arial"/>
          <w:b/>
          <w:bCs/>
          <w:color w:val="333333"/>
          <w:sz w:val="26"/>
          <w:szCs w:val="26"/>
        </w:rPr>
        <w:t xml:space="preserve">Core Formulas</w:t>
      </w:r>
    </w:p>
    <w:p>
      <w:pPr>
        <w:spacing w:after="160"/>
      </w:pPr>
      <w:r>
        <w:rPr>
          <w:rFonts w:ascii="Arial" w:cs="Arial" w:eastAsia="Arial" w:hAnsi="Arial"/>
          <w:color w:val="444444"/>
          <w:sz w:val="22"/>
          <w:szCs w:val="22"/>
        </w:rPr>
        <w:t xml:space="preserve">Raw Score = Likelihood (1-5) x Impact (1-5). Range: 1-25.</w:t>
      </w:r>
    </w:p>
    <w:p>
      <w:pPr>
        <w:spacing w:after="160"/>
      </w:pPr>
      <w:r>
        <w:rPr>
          <w:rFonts w:ascii="Arial" w:cs="Arial" w:eastAsia="Arial" w:hAnsi="Arial"/>
          <w:color w:val="444444"/>
          <w:sz w:val="22"/>
          <w:szCs w:val="22"/>
        </w:rPr>
        <w:t xml:space="preserve">Residual Score = Raw Score x (1 - Control Effectiveness%). Represents risk remaining after controls.</w:t>
      </w:r>
    </w:p>
    <w:p>
      <w:pPr>
        <w:spacing w:after="160"/>
      </w:pPr>
      <w:r>
        <w:rPr>
          <w:rFonts w:ascii="Arial" w:cs="Arial" w:eastAsia="Arial" w:hAnsi="Arial"/>
          <w:color w:val="444444"/>
          <w:sz w:val="22"/>
          <w:szCs w:val="22"/>
        </w:rPr>
        <w:t xml:space="preserve">Annual Expected Loss = (Est. Breach Cost x Attack Surface + Est. Fines x Regulatory Burden) x (Incident Frequency / 20). Converts risk to dollar terms.</w:t>
      </w:r>
    </w:p>
    <w:p>
      <w:pPr>
        <w:spacing w:after="160"/>
      </w:pPr>
      <w:r>
        <w:rPr>
          <w:rFonts w:ascii="Arial" w:cs="Arial" w:eastAsia="Arial" w:hAnsi="Arial"/>
          <w:color w:val="444444"/>
          <w:sz w:val="22"/>
          <w:szCs w:val="22"/>
        </w:rPr>
        <w:t xml:space="preserve">Risk Capital = AEL x 1.5. Provides a tail-risk buffer for budget planning.</w:t>
      </w:r>
    </w:p>
    <w:p>
      <w:pPr>
        <w:spacing w:after="160"/>
      </w:pPr>
      <w:r>
        <w:rPr>
          <w:rFonts w:ascii="Arial" w:cs="Arial" w:eastAsia="Arial" w:hAnsi="Arial"/>
          <w:color w:val="444444"/>
          <w:sz w:val="22"/>
          <w:szCs w:val="22"/>
        </w:rPr>
        <w:t xml:space="preserve">Risk Index = (Average Residual / 25) x 100 x Attack Surface. Composite organizational risk score (0-100).</w:t>
      </w:r>
    </w:p>
    <w:p>
      <w:r>
        <w:br w:type="page"/>
      </w:r>
    </w:p>
    <w:p>
      <w:pPr>
        <w:pStyle w:val="Heading1"/>
        <w:spacing w:after="200" w:before="400"/>
      </w:pPr>
      <w:r>
        <w:rPr>
          <w:rFonts w:ascii="Arial" w:cs="Arial" w:eastAsia="Arial" w:hAnsi="Arial"/>
          <w:b/>
          <w:bCs/>
          <w:color w:val="1A6B66"/>
          <w:sz w:val="32"/>
          <w:szCs w:val="32"/>
        </w:rPr>
        <w:t xml:space="preserve">12. Appendix: Supported Frameworks</w:t>
      </w:r>
    </w:p>
    <w:p>
      <w:pPr>
        <w:pStyle w:val="Heading2"/>
        <w:spacing w:after="150" w:before="300"/>
      </w:pPr>
      <w:r>
        <w:rPr>
          <w:rFonts w:ascii="Arial" w:cs="Arial" w:eastAsia="Arial" w:hAnsi="Arial"/>
          <w:b/>
          <w:bCs/>
          <w:color w:val="333333"/>
          <w:sz w:val="26"/>
          <w:szCs w:val="26"/>
        </w:rPr>
        <w:t xml:space="preserve">NIST Cybersecurity Framework (CSF)</w:t>
      </w:r>
    </w:p>
    <w:p>
      <w:pPr>
        <w:spacing w:after="160"/>
      </w:pPr>
      <w:r>
        <w:rPr>
          <w:rFonts w:ascii="Arial" w:cs="Arial" w:eastAsia="Arial" w:hAnsi="Arial"/>
          <w:color w:val="444444"/>
          <w:sz w:val="22"/>
          <w:szCs w:val="22"/>
        </w:rPr>
        <w:t xml:space="preserve">23 subcategories across 5 functions: Identify (ID), Protect (PR), Detect (DE), Respond (RS), Recover (RC). Control IDs: ID.AM, ID.BE, ID.GV, ID.RA, ID.RM, ID.SC, PR.AC, PR.AT, PR.DS, PR.IP, PR.MA, PR.PT, DE.AE, DE.CM, DE.DP, RS.RP, RS.CO, RS.AN, RS.MI, RS.IM, RC.RP, RC.IM, RC.CO.</w:t>
      </w:r>
    </w:p>
    <w:p>
      <w:pPr>
        <w:pStyle w:val="Heading2"/>
        <w:spacing w:after="150" w:before="300"/>
      </w:pPr>
      <w:r>
        <w:rPr>
          <w:rFonts w:ascii="Arial" w:cs="Arial" w:eastAsia="Arial" w:hAnsi="Arial"/>
          <w:b/>
          <w:bCs/>
          <w:color w:val="333333"/>
          <w:sz w:val="26"/>
          <w:szCs w:val="26"/>
        </w:rPr>
        <w:t xml:space="preserve">ISO 27001:2022</w:t>
      </w:r>
    </w:p>
    <w:p>
      <w:pPr>
        <w:spacing w:after="160"/>
      </w:pPr>
      <w:r>
        <w:rPr>
          <w:rFonts w:ascii="Arial" w:cs="Arial" w:eastAsia="Arial" w:hAnsi="Arial"/>
          <w:color w:val="444444"/>
          <w:sz w:val="22"/>
          <w:szCs w:val="22"/>
        </w:rPr>
        <w:t xml:space="preserve">14 control domains (Annex A): A.5 through A.18, covering information security policies, organization, human resources, asset management, access control, cryptography, physical security, operations, communications, system development, supplier relations, incident management, business continuity, and compliance.</w:t>
      </w:r>
    </w:p>
    <w:p>
      <w:pPr>
        <w:pStyle w:val="Heading2"/>
        <w:spacing w:after="150" w:before="300"/>
      </w:pPr>
      <w:r>
        <w:rPr>
          <w:rFonts w:ascii="Arial" w:cs="Arial" w:eastAsia="Arial" w:hAnsi="Arial"/>
          <w:b/>
          <w:bCs/>
          <w:color w:val="333333"/>
          <w:sz w:val="26"/>
          <w:szCs w:val="26"/>
        </w:rPr>
        <w:t xml:space="preserve">SOC 2</w:t>
      </w:r>
    </w:p>
    <w:p>
      <w:pPr>
        <w:spacing w:after="160"/>
      </w:pPr>
      <w:r>
        <w:rPr>
          <w:rFonts w:ascii="Arial" w:cs="Arial" w:eastAsia="Arial" w:hAnsi="Arial"/>
          <w:color w:val="444444"/>
          <w:sz w:val="22"/>
          <w:szCs w:val="22"/>
        </w:rPr>
        <w:t xml:space="preserve">13 criteria across Trust Service Categories: CC1-CC9 (Common Criteria), A1 (Availability), C1 (Confidentiality), PI1 (Processing Integrity), P1 (Privacy).</w:t>
      </w:r>
    </w:p>
    <w:p>
      <w:pPr>
        <w:pStyle w:val="Heading2"/>
        <w:spacing w:after="150" w:before="300"/>
      </w:pPr>
      <w:r>
        <w:rPr>
          <w:rFonts w:ascii="Arial" w:cs="Arial" w:eastAsia="Arial" w:hAnsi="Arial"/>
          <w:b/>
          <w:bCs/>
          <w:color w:val="333333"/>
          <w:sz w:val="26"/>
          <w:szCs w:val="26"/>
        </w:rPr>
        <w:t xml:space="preserve">HIPAA</w:t>
      </w:r>
    </w:p>
    <w:p>
      <w:pPr>
        <w:spacing w:after="160"/>
      </w:pPr>
      <w:r>
        <w:rPr>
          <w:rFonts w:ascii="Arial" w:cs="Arial" w:eastAsia="Arial" w:hAnsi="Arial"/>
          <w:color w:val="444444"/>
          <w:sz w:val="22"/>
          <w:szCs w:val="22"/>
        </w:rPr>
        <w:t xml:space="preserve">13 safeguards under the Security Rule: Administrative (§164.308), Physical (§164.310), and Technical (§164.312) safeguards.</w:t>
      </w:r>
    </w:p>
    <w:p>
      <w:pPr>
        <w:pStyle w:val="Heading2"/>
        <w:spacing w:after="150" w:before="300"/>
      </w:pPr>
      <w:r>
        <w:rPr>
          <w:rFonts w:ascii="Arial" w:cs="Arial" w:eastAsia="Arial" w:hAnsi="Arial"/>
          <w:b/>
          <w:bCs/>
          <w:color w:val="333333"/>
          <w:sz w:val="26"/>
          <w:szCs w:val="26"/>
        </w:rPr>
        <w:t xml:space="preserve">PCI DSS v4.0</w:t>
      </w:r>
    </w:p>
    <w:p>
      <w:pPr>
        <w:spacing w:after="160"/>
      </w:pPr>
      <w:r>
        <w:rPr>
          <w:rFonts w:ascii="Arial" w:cs="Arial" w:eastAsia="Arial" w:hAnsi="Arial"/>
          <w:color w:val="444444"/>
          <w:sz w:val="22"/>
          <w:szCs w:val="22"/>
        </w:rPr>
        <w:t xml:space="preserve">12 requirements covering network security, data protection, vulnerability management, access control, monitoring, and security policies.</w:t>
      </w:r>
    </w:p>
    <w:p>
      <w:pPr>
        <w:pStyle w:val="Heading2"/>
        <w:spacing w:after="150" w:before="300"/>
      </w:pPr>
      <w:r>
        <w:rPr>
          <w:rFonts w:ascii="Arial" w:cs="Arial" w:eastAsia="Arial" w:hAnsi="Arial"/>
          <w:b/>
          <w:bCs/>
          <w:color w:val="333333"/>
          <w:sz w:val="26"/>
          <w:szCs w:val="26"/>
        </w:rPr>
        <w:t xml:space="preserve">GDPR</w:t>
      </w:r>
    </w:p>
    <w:p>
      <w:pPr>
        <w:spacing w:after="160"/>
      </w:pPr>
      <w:r>
        <w:rPr>
          <w:rFonts w:ascii="Arial" w:cs="Arial" w:eastAsia="Arial" w:hAnsi="Arial"/>
          <w:color w:val="444444"/>
          <w:sz w:val="22"/>
          <w:szCs w:val="22"/>
        </w:rPr>
        <w:t xml:space="preserve">13 key articles: Art.5 (Principles), Art.6-7 (Lawfulness/Consent), Art.9 (Special Categories), Art.12-20 (Data Subject Rights), Art.25 (Privacy by Design), Art.28 (Processors), Art.30 (Records), Art.32 (Security), Art.33 (Breach Notification), Art.35 (DPIA), Art.37 (DPO).</w:t>
      </w:r>
    </w:p>
    <w:p>
      <w:pPr>
        <w:pStyle w:val="Heading2"/>
        <w:spacing w:after="150" w:before="300"/>
      </w:pPr>
      <w:r>
        <w:rPr>
          <w:rFonts w:ascii="Arial" w:cs="Arial" w:eastAsia="Arial" w:hAnsi="Arial"/>
          <w:b/>
          <w:bCs/>
          <w:color w:val="333333"/>
          <w:sz w:val="26"/>
          <w:szCs w:val="26"/>
        </w:rPr>
        <w:t xml:space="preserve">CMMC 2.0</w:t>
      </w:r>
    </w:p>
    <w:p>
      <w:pPr>
        <w:spacing w:after="160"/>
      </w:pPr>
      <w:r>
        <w:rPr>
          <w:rFonts w:ascii="Arial" w:cs="Arial" w:eastAsia="Arial" w:hAnsi="Arial"/>
          <w:color w:val="444444"/>
          <w:sz w:val="22"/>
          <w:szCs w:val="22"/>
        </w:rPr>
        <w:t xml:space="preserve">17 domains: Access Control, Awareness &amp; Training, Audit &amp; Accountability, Configuration Management, Identification &amp; Authentication, Incident Response, Maintenance, Media Protection, Physical Protection, Personnel Security, Risk Assessment, Recovery, Risk Management, Security Assessment, System &amp; Communications Protection, System &amp; Information Integrity, Program Management.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GRC Vault v2.0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6B66"/>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2026-03-19T13:47:20.639Z</dcterms:created>
  <dcterms:modified xsi:type="dcterms:W3CDTF">2026-03-19T13:47:20.639Z</dcterms:modified>
</cp:coreProperties>
</file>

<file path=docProps/custom.xml><?xml version="1.0" encoding="utf-8"?>
<Properties xmlns="http://schemas.openxmlformats.org/officeDocument/2006/custom-properties" xmlns:vt="http://schemas.openxmlformats.org/officeDocument/2006/docPropsVTypes"/>
</file>