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B4C7E"/>
          <w:sz w:val="44"/>
          <w:szCs w:val="44"/>
        </w:rPr>
        <w:t xml:space="preserve">Base de suivi des prédictions</w:t>
      </w:r>
    </w:p>
    <w:p>
      <w:pPr>
        <w:spacing w:after="40"/>
        <w:jc w:val="center"/>
      </w:pPr>
      <w:r>
        <w:rPr>
          <w:color w:val="3E7CB1"/>
          <w:sz w:val="26"/>
          <w:szCs w:val="26"/>
        </w:rPr>
        <w:t xml:space="preserve">tracking.db — structure et contenu actuel</w:t>
      </w:r>
    </w:p>
    <w:p>
      <w:pPr>
        <w:spacing w:after="300"/>
        <w:jc w:val="center"/>
      </w:pPr>
      <w:r>
        <w:rPr>
          <w:i/>
          <w:iCs/>
          <w:color w:val="777777"/>
          <w:sz w:val="18"/>
          <w:szCs w:val="18"/>
        </w:rPr>
        <w:t xml:space="preserve">DeepEdge Benchmark · Partie B · état au 8 juillet 2026</w:t>
      </w:r>
    </w:p>
    <w:p>
      <w:pPr>
        <w:pStyle w:val="Heading1"/>
      </w:pPr>
      <w:r>
        <w:t xml:space="preserve">1. À quoi sert cette base</w:t>
      </w:r>
    </w:p>
    <w:p>
      <w:pPr>
        <w:spacing w:after="120"/>
      </w:pPr>
      <w:r>
        <w:t xml:space="preserve">La base </w:t>
      </w:r>
      <w:r>
        <w:rPr>
          <w:rFonts w:ascii="Consolas" w:cs="Consolas" w:eastAsia="Consolas" w:hAnsi="Consolas"/>
        </w:rPr>
        <w:t xml:space="preserve">tracking.db</w:t>
      </w:r>
      <w:r>
        <w:t xml:space="preserve"> est le journal de bord des prévisions produites par les modèles du benchmark. Chaque fois qu'un modèle prédit le prix futur d'un actif, la prédiction y est enregistrée. Plus tard, quand le vrai prix est connu, la base compare la prévision à la réalité et calcule automatiquement si le modèle a été juste. Elle sert donc à </w:t>
      </w:r>
      <w:r>
        <w:rPr>
          <w:b/>
          <w:bCs/>
        </w:rPr>
        <w:t xml:space="preserve">mesurer objectivement la qualité de chaque modèle</w:t>
      </w:r>
      <w:r>
        <w:t xml:space="preserve"> dans la durée.</w:t>
      </w:r>
    </w:p>
    <w:p>
      <w:pPr>
        <w:spacing w:after="120"/>
      </w:pPr>
      <w:r>
        <w:t xml:space="preserve">Techniquement, c'est une base </w:t>
      </w:r>
      <w:r>
        <w:rPr>
          <w:b/>
          <w:bCs/>
        </w:rPr>
        <w:t xml:space="preserve">SQLite</w:t>
      </w:r>
      <w:r>
        <w:t xml:space="preserve"> — un simple fichier (</w:t>
      </w:r>
      <w:r>
        <w:rPr>
          <w:rFonts w:ascii="Consolas" w:cs="Consolas" w:eastAsia="Consolas" w:hAnsi="Consolas"/>
        </w:rPr>
        <w:t xml:space="preserve">validation/tracking.db</w:t>
      </w:r>
      <w:r>
        <w:t xml:space="preserve">, 32 Ko), sans serveur, lisible avec la bibliothèque standard de Python. Elle est volontairement légère et autonome.</w:t>
      </w:r>
    </w:p>
    <w:p>
      <w:pPr>
        <w:spacing w:after="120"/>
      </w:pPr>
      <w:r>
        <w:t xml:space="preserve">Le principe sépare deux moments : </w:t>
      </w:r>
      <w:r>
        <w:rPr>
          <w:b/>
          <w:bCs/>
        </w:rPr>
        <w:t xml:space="preserve">(1) la production</w:t>
      </w:r>
      <w:r>
        <w:t xml:space="preserve"> — un modèle écrit sa prévision — et </w:t>
      </w:r>
      <w:r>
        <w:rPr>
          <w:b/>
          <w:bCs/>
        </w:rPr>
        <w:t xml:space="preserve">(2) l'évaluation</w:t>
      </w:r>
      <w:r>
        <w:t xml:space="preserve"> — une fois l'échéance passée, on récupère le vrai prix et on note la prévision. C'est ce qui explique la structure de la table principale, décrite plus bas.</w:t>
      </w:r>
    </w:p>
    <w:p>
      <w:pPr>
        <w:pStyle w:val="Heading1"/>
      </w:pPr>
      <w:r>
        <w:t xml:space="preserve">2. Schéma d'ensemble</w:t>
      </w:r>
    </w:p>
    <w:p>
      <w:pPr>
        <w:spacing w:after="120"/>
      </w:pPr>
      <w:r>
        <w:t xml:space="preserve">La base contient </w:t>
      </w:r>
      <w:r>
        <w:rPr>
          <w:b/>
          <w:bCs/>
        </w:rPr>
        <w:t xml:space="preserve">deux tables</w:t>
      </w:r>
      <w:r>
        <w:t xml:space="preserve"> reliées par le champ </w:t>
      </w:r>
      <w:r>
        <w:rPr>
          <w:rFonts w:ascii="Consolas" w:cs="Consolas" w:eastAsia="Consolas" w:hAnsi="Consolas"/>
        </w:rPr>
        <w:t xml:space="preserve">tc_id</w:t>
      </w:r>
      <w:r>
        <w:t xml:space="preserve"> : </w:t>
      </w:r>
      <w:r>
        <w:rPr>
          <w:rFonts w:ascii="Consolas" w:cs="Consolas" w:eastAsia="Consolas" w:hAnsi="Consolas"/>
        </w:rPr>
        <w:t xml:space="preserve">test_cases</w:t>
      </w:r>
      <w:r>
        <w:t xml:space="preserve"> (le catalogue des cas testés) et </w:t>
      </w:r>
      <w:r>
        <w:rPr>
          <w:rFonts w:ascii="Consolas" w:cs="Consolas" w:eastAsia="Consolas" w:hAnsi="Consolas"/>
        </w:rPr>
        <w:t xml:space="preserve">predictions</w:t>
      </w:r>
      <w:r>
        <w:t xml:space="preserve"> (toutes les prévisions et leur évaluation).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095750"/>
            <wp:effectExtent t="0" r="0" b="0" l="0"/>
            <wp:docPr id="1" name="schema" descr="Deux tables test_cases et predictions reliées par tc_id" title="Schéma relationnel tracking.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Lecture : une ligne de test_cases (un cas de référence) correspond à plusieurs lignes de predictions (une par modèle et par run). Les champs sur fond vert clair ne sont remplis qu'après coup, lors de l'évaluation.</w:t>
      </w:r>
    </w:p>
    <w:p>
      <w:pPr>
        <w:pStyle w:val="Heading1"/>
      </w:pPr>
      <w:r>
        <w:t xml:space="preserve">3. Table test_cases — le catalogue des cas</w:t>
      </w:r>
    </w:p>
    <w:p>
      <w:pPr>
        <w:spacing w:after="120"/>
      </w:pPr>
      <w:r>
        <w:t xml:space="preserve">Elle liste les </w:t>
      </w:r>
      <w:r>
        <w:rPr>
          <w:b/>
          <w:bCs/>
        </w:rPr>
        <w:t xml:space="preserve">cas de référence</w:t>
      </w:r>
      <w:r>
        <w:t xml:space="preserve"> que l'on cherche à prédire : un actif + un horizon. Table courte et stable, elle sert de dictionnaire.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1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Signification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tc_id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B4C7E"/>
              </w:rPr>
              <w:t xml:space="preserve">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Identifiant du cas de test (ex. TC_SPY_D1)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Ticker de l'actif (SPY, BTC-USD…)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horizon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Horizon de prévision : 1 ou 7 jours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Libellé libre du cas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Table predictions — le cœur de la base</w:t>
      </w:r>
    </w:p>
    <w:p>
      <w:pPr>
        <w:spacing w:after="120"/>
      </w:pPr>
      <w:r>
        <w:t xml:space="preserve">Chaque ligne est </w:t>
      </w:r>
      <w:r>
        <w:rPr>
          <w:b/>
          <w:bCs/>
        </w:rPr>
        <w:t xml:space="preserve">une prévision faite par un modèle donné, pour un cas donné, à une date de coupure donnée</w:t>
      </w:r>
      <w:r>
        <w:t xml:space="preserve">. Les champs se lisent en deux groupes.</w:t>
      </w:r>
    </w:p>
    <w:p>
      <w:pPr>
        <w:spacing w:after="120"/>
      </w:pPr>
      <w:r>
        <w:rPr>
          <w:b/>
          <w:bCs/>
        </w:rPr>
        <w:t xml:space="preserve">Groupe 1 — écrit à la création</w:t>
      </w:r>
      <w:r>
        <w:t xml:space="preserve"> (dès que le modèle prédit) : de </w:t>
      </w:r>
      <w:r>
        <w:rPr>
          <w:rFonts w:ascii="Consolas" w:cs="Consolas" w:eastAsia="Consolas" w:hAnsi="Consolas"/>
        </w:rPr>
        <w:t xml:space="preserve">run_id</w:t>
      </w:r>
      <w:r>
        <w:t xml:space="preserve"> à </w:t>
      </w:r>
      <w:r>
        <w:rPr>
          <w:rFonts w:ascii="Consolas" w:cs="Consolas" w:eastAsia="Consolas" w:hAnsi="Consolas"/>
        </w:rPr>
        <w:t xml:space="preserve">created_at</w:t>
      </w:r>
      <w:r>
        <w:t xml:space="preserve">. On y trouve la prévision (</w:t>
      </w:r>
      <w:r>
        <w:rPr>
          <w:rFonts w:ascii="Consolas" w:cs="Consolas" w:eastAsia="Consolas" w:hAnsi="Consolas"/>
        </w:rPr>
        <w:t xml:space="preserve">y_pred</w:t>
      </w:r>
      <w:r>
        <w:t xml:space="preserve">) et son intervalle de confiance (</w:t>
      </w:r>
      <w:r>
        <w:rPr>
          <w:rFonts w:ascii="Consolas" w:cs="Consolas" w:eastAsia="Consolas" w:hAnsi="Consolas"/>
        </w:rPr>
        <w:t xml:space="preserve">y_lower / y_upper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Groupe 2 — écrit à l'évaluation</w:t>
      </w:r>
      <w:r>
        <w:t xml:space="preserve"> (lignes vertes, une fois le vrai prix connu) : de </w:t>
      </w:r>
      <w:r>
        <w:rPr>
          <w:rFonts w:ascii="Consolas" w:cs="Consolas" w:eastAsia="Consolas" w:hAnsi="Consolas"/>
        </w:rPr>
        <w:t xml:space="preserve">y_true</w:t>
      </w:r>
      <w:r>
        <w:t xml:space="preserve"> à </w:t>
      </w:r>
      <w:r>
        <w:rPr>
          <w:rFonts w:ascii="Consolas" w:cs="Consolas" w:eastAsia="Consolas" w:hAnsi="Consolas"/>
        </w:rPr>
        <w:t xml:space="preserve">evaluated_at</w:t>
      </w:r>
      <w:r>
        <w:t xml:space="preserve">. Tant que l'échéance n'est pas passée, ces champs restent vides.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2000"/>
        <w:gridCol w:w="1200"/>
        <w:gridCol w:w="3120"/>
      </w:tblGrid>
      <w:tr>
        <w:trPr>
          <w:tblHeader/>
        </w:trP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Signification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B4C7E"/>
              </w:rPr>
              <w:t xml:space="preserve">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Clé technique auto-incrémentée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run_id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B4C7E"/>
              </w:rPr>
              <w:t xml:space="preserve">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Identifiant du run de benchmark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tc_id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B4C7E"/>
              </w:rPr>
              <w:t xml:space="preserve">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référence test_cases.tc_id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B4C7E"/>
              </w:rPr>
              <w:t xml:space="preserve">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arima-garch / sarima / prophet / lstm / naive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Ticker de l'actif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horizon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ou 7 jours de bourse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cutoff_date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2B4C7E"/>
              </w:rPr>
              <w:t xml:space="preserve">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de coupure T (dernière donnée d'entraînement)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target_date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prédite T+H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Régime de marché à T (bear / calm)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last_close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Prix à T = prévision naïve de référence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y_pred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Prévision ponctuelle du modèle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y_lower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Borne basse de l'intervalle de confiance 95 %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y_upper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Borne haute de l'intervalle de confiance 95 %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verdict_integrite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Verdict niveau 1 (0/1), calculé en amont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verdict_plausibilite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Verdict niveau 2 (0/1), calculé en amont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Horodatage de création de la ligne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y_true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>éval.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Vraie valeur observée à target_date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in_interval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>éval.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si y_true dans [y_lower, y_upper]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abs_error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>éval.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Erreur absolue du modèle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abs_error_naif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>éval.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Erreur absolue de la prévision naïve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beats_naif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>éval.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si le modèle bat le naïf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direction_correct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>éval.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si le sens de variation est correct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evaluated_at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777777"/>
              </w:rPr>
              <w:t xml:space="preserve">éval.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de l'évaluation a posteriori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La règle anti-doublon</w:t>
      </w:r>
    </w:p>
    <w:p>
      <w:pPr>
        <w:spacing w:after="120"/>
      </w:pPr>
      <w:r>
        <w:t xml:space="preserve">Une contrainte d'unicité porte sur le trio </w:t>
      </w:r>
      <w:r>
        <w:rPr>
          <w:rFonts w:ascii="Consolas" w:cs="Consolas" w:eastAsia="Consolas" w:hAnsi="Consolas"/>
        </w:rPr>
        <w:t xml:space="preserve">(tc_id, model, cutoff_date)</w:t>
      </w:r>
      <w:r>
        <w:t xml:space="preserve"> : </w:t>
      </w:r>
      <w:r>
        <w:rPr>
          <w:b/>
          <w:bCs/>
        </w:rPr>
        <w:t xml:space="preserve">un même modèle ne peut pas enregistrer deux prévisions pour le même cas à la même date de coupure</w:t>
      </w:r>
      <w:r>
        <w:t xml:space="preserve">. Si le benchmark est relancé, les lignes déjà présentes sont ignorées plutôt que dupliquées — la base reste propre (idempotence).</w:t>
      </w:r>
    </w:p>
    <w:p>
      <w:pPr>
        <w:pStyle w:val="Heading1"/>
      </w:pPr>
      <w:r>
        <w:t xml:space="preserve">5. Le cycle de vie d'une prédiction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Création.</w:t>
      </w:r>
      <w:r>
        <w:t xml:space="preserve"> Le modèle prédit ; une ligne est insérée avec sa prévision et son intervalle. Les champs d'évaluation sont vides.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Attente.</w:t>
      </w:r>
      <w:r>
        <w:t xml:space="preserve"> On attend que la date cible (</w:t>
      </w:r>
      <w:r>
        <w:rPr>
          <w:rFonts w:ascii="Consolas" w:cs="Consolas" w:eastAsia="Consolas" w:hAnsi="Consolas"/>
        </w:rPr>
        <w:t xml:space="preserve">target_date</w:t>
      </w:r>
      <w:r>
        <w:t xml:space="preserve">) soit passée et que le vrai prix soit disponible.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Évaluation.</w:t>
      </w:r>
      <w:r>
        <w:t xml:space="preserve"> Un traitement récupère le prix réel, le stocke dans </w:t>
      </w:r>
      <w:r>
        <w:rPr>
          <w:rFonts w:ascii="Consolas" w:cs="Consolas" w:eastAsia="Consolas" w:hAnsi="Consolas"/>
        </w:rPr>
        <w:t xml:space="preserve">y_true</w:t>
      </w:r>
      <w:r>
        <w:t xml:space="preserve">, puis calcule les cinq indicateurs de qualité et les inscrit dans la ligne.</w:t>
      </w:r>
    </w:p>
    <w:p>
      <w:pPr>
        <w:spacing w:after="120"/>
      </w:pPr>
      <w:r>
        <w:t xml:space="preserve">Cette évaluation tourne automatiquement chaque jour, ce qui explique qu'à un instant donné une partie seulement des lignes soit évaluée (voir §7).</w:t>
      </w:r>
    </w:p>
    <w:p>
      <w:pPr>
        <w:pStyle w:val="Heading1"/>
      </w:pPr>
      <w:r>
        <w:t xml:space="preserve">6. Les indicateurs de qualité calculés</w:t>
      </w:r>
    </w:p>
    <w:p>
      <w:pPr>
        <w:spacing w:after="120"/>
      </w:pPr>
      <w:r>
        <w:t xml:space="preserve">Sur un prix quasi imprévisible, une erreur brute ne dit pas grand-chose. La base mesure donc surtout la </w:t>
      </w:r>
      <w:r>
        <w:rPr>
          <w:b/>
          <w:bCs/>
        </w:rPr>
        <w:t xml:space="preserve">calibration</w:t>
      </w:r>
      <w:r>
        <w:t xml:space="preserve"> et le </w:t>
      </w:r>
      <w:r>
        <w:rPr>
          <w:b/>
          <w:bCs/>
        </w:rPr>
        <w:t xml:space="preserve">skill face au naïf</w:t>
      </w:r>
      <w:r>
        <w:t xml:space="preserve">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Indicateur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Ce qu'il mesure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in_interval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 vrai prix tombe-t-il dans l'intervalle de confiance 95 % ? (fiabilité de l'incertitude annoncée)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abs_error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Erreur absolue du modèle : |vrai − prévu|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abs_error_naif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Erreur de la prévision naïve (« demain = aujourd'hui »)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beats_naif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 modèle fait-il mieux que le naïf ? (le vrai test de valeur ajoutée)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direction_correct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 sens de variation (hausse/baisse) est-il correct 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Contenu actuel de la base</w:t>
      </w:r>
    </w:p>
    <w:p>
      <w:pPr>
        <w:spacing w:after="120"/>
      </w:pPr>
      <w:r>
        <w:t xml:space="preserve">État au 8 juillet 2026 — un seul run à ce jour (</w:t>
      </w:r>
      <w:r>
        <w:rPr>
          <w:rFonts w:ascii="Consolas" w:cs="Consolas" w:eastAsia="Consolas" w:hAnsi="Consolas"/>
        </w:rPr>
        <w:t xml:space="preserve">run_20260707T111806</w:t>
      </w:r>
      <w:r>
        <w:t xml:space="preserve">, coupure du 6 juillet)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 de référence (test_cases)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Prévisions enregistrées (predictions)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Prévisions déjà évaluées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25 (horizon 1 jour, échéance atteinte)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Prévisions en attente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 (horizon 7 jours, échéance au 13 juillet)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Modèles couverts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: ARIMA-GARCH, SARIMA, Prophet, LSTM, Naive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Actifs couverts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: BTC-USD, ETH-USD, SPY, TLT, ZN=F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Horizons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: 1 jour et 7 jours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Régimes de marché observés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bear (crypto) et calm (SPY, TLT, ZN=F)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Chaque combinaison </w:t>
      </w:r>
      <w:r>
        <w:rPr>
          <w:b/>
          <w:bCs/>
        </w:rPr>
        <w:t xml:space="preserve">5 modèles × 5 actifs × 2 horizons</w:t>
      </w:r>
      <w:r>
        <w:t xml:space="preserve"> donne les 50 lignes. Les 25 lignes à horizon 1 jour sont déjà notées ; les 25 à horizon 7 jours le seront après le 13 juillet.</w:t>
      </w:r>
    </w:p>
    <w:p>
      <w:pPr>
        <w:pStyle w:val="Heading2"/>
      </w:pPr>
      <w:r>
        <w:t xml:space="preserve">Aperçu des premiers résultats (25 lignes évaluées, horizon 1 jour)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Échantillon très réduit (5 prévisions par modèle) : à lire comme une illustration de ce que produit la base, pas comme un classement.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500"/>
        <w:gridCol w:w="1500"/>
        <w:gridCol w:w="1500"/>
        <w:gridCol w:w="21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Modèle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Couvre. 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Bat naïf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Sens OK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sur n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ARIMA-GARCH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1/5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SARIMA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2/5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Prophet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0/5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LSTM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2/5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Naive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2/5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3/5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« Couvre. IC » = nb de fois où le vrai prix tombe dans l'intervalle 95 %. « Bat naïf » = nb de fois où le modèle fait mieux que la prévision naïve.</w:t>
      </w:r>
    </w:p>
    <w:p>
      <w:pPr>
        <w:pStyle w:val="Heading1"/>
      </w:pPr>
      <w:r>
        <w:t xml:space="preserve">En résumé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Une base SQLite d'un seul fichier, </w:t>
      </w:r>
      <w:r>
        <w:rPr>
          <w:rFonts w:ascii="Consolas" w:cs="Consolas" w:eastAsia="Consolas" w:hAnsi="Consolas"/>
        </w:rPr>
        <w:t xml:space="preserve">validation/tracking.db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Deux tables : </w:t>
      </w:r>
      <w:r>
        <w:rPr>
          <w:rFonts w:ascii="Consolas" w:cs="Consolas" w:eastAsia="Consolas" w:hAnsi="Consolas"/>
        </w:rPr>
        <w:t xml:space="preserve">test_cases</w:t>
      </w:r>
      <w:r>
        <w:t xml:space="preserve"> (10 cas) et </w:t>
      </w:r>
      <w:r>
        <w:rPr>
          <w:rFonts w:ascii="Consolas" w:cs="Consolas" w:eastAsia="Consolas" w:hAnsi="Consolas"/>
        </w:rPr>
        <w:t xml:space="preserve">predictions</w:t>
      </w:r>
      <w:r>
        <w:t xml:space="preserve"> (50 prévisions).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Chaque prévision est d'abord enregistrée, puis évaluée automatiquement une fois le vrai prix connu.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Une contrainte d'unicité garantit qu'aucune prévision n'est comptée deux fois.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À ce jour : 1 run, 25 lignes évaluées sur 50, 5 modèles, 5 actifs, 2 horizons.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tracking.db — structure &amp; contenu ·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E7CB1" w:sz="6" w:space="4"/>
      </w:pBdr>
      <w:spacing w:after="140" w:before="280"/>
      <w:outlineLvl w:val="0"/>
    </w:pPr>
    <w:rPr>
      <w:rFonts w:ascii="Arial" w:cs="Arial" w:eastAsia="Arial" w:hAnsi="Arial"/>
      <w:b/>
      <w:bCs/>
      <w:color w:val="2B4C7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E7CB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52c88902aa993adb32fcc29f9eb477a4d82a1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2026-07-08T12:54:23.883Z</dcterms:created>
  <dcterms:modified xsi:type="dcterms:W3CDTF">2026-07-08T12:54:23.883Z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