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90E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使用版本：Unity 2022.3.61f1</w:t>
      </w:r>
    </w:p>
    <w:p w14:paraId="7ED1A4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"https://catlikecoding.com/unity/tutorials/custom-srp/"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https://catlikecoding.com/unity/tutorials/custom-srp/</w:t>
      </w:r>
      <w:r>
        <w:rPr>
          <w:rFonts w:hint="eastAsia"/>
          <w:lang w:val="en-US" w:eastAsia="zh-CN"/>
        </w:rPr>
        <w:fldChar w:fldCharType="end"/>
      </w:r>
    </w:p>
    <w:p w14:paraId="292722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目前做法：跟着网站做一遍，同时记录关键步骤和自己复刻的结果，并且分析代码，在必要的地方加上解释性注释。</w:t>
      </w:r>
    </w:p>
    <w:p w14:paraId="40DF32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"https://github.com/DarkSleeper/SRP-Learning"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https://github.com/DarkSleeper/SRP-Learning</w:t>
      </w:r>
      <w:r>
        <w:rPr>
          <w:rFonts w:hint="eastAsia"/>
          <w:lang w:val="en-US" w:eastAsia="zh-CN"/>
        </w:rPr>
        <w:fldChar w:fldCharType="end"/>
      </w:r>
    </w:p>
    <w:p w14:paraId="791587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</w:p>
    <w:p w14:paraId="734212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目前完成的工作：</w:t>
      </w:r>
      <w:bookmarkStart w:id="0" w:name="_GoBack"/>
      <w:bookmarkEnd w:id="0"/>
    </w:p>
    <w:p w14:paraId="2C60BE01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自定义渲染管线，包含基本的场景/相机视图绘制，执行内置的剔除、过滤、排序，可以绘制不透明和透明材质，并把不支持的材质高亮</w:t>
      </w:r>
    </w:p>
    <w:p w14:paraId="17829FF1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45535" cy="1518920"/>
            <wp:effectExtent l="0" t="0" r="1206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892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编写HLSL代码，支持SRP Batcher, GPU Instancing和Dynamic Batching，编写同一材质按实例输入属性的脚本，创建透明和镂空材质</w:t>
      </w:r>
    </w:p>
    <w:p w14:paraId="655AD40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26995" cy="2452370"/>
            <wp:effectExtent l="0" t="0" r="9525" b="12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9262" r="608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B401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增加一个可以用于计算光照的Shader，最多支持四个方向光，应用BRDF模型，增加透明物体的光照计算模式，增加材质预设的自定义GUI切换</w:t>
      </w:r>
    </w:p>
    <w:p w14:paraId="366212D2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226185" cy="1160145"/>
            <wp:effectExtent l="0" t="0" r="8255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05230" cy="1172845"/>
            <wp:effectExtent l="0" t="0" r="1397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61737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8FF8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绘制阴影贴图，在光照着色时采样该贴图绘制阴影，最多支持四个方向光。支持级联阴影，使用bias和PCF改善阴影，对不同层级的阴影进行混合。支持透明物体和Unlit材质的阴影。</w:t>
      </w:r>
    </w:p>
    <w:p w14:paraId="24142F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</w:p>
    <w:p w14:paraId="0093F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最终结果：</w:t>
      </w:r>
    </w:p>
    <w:p w14:paraId="6FAC6F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04 Directional Shadow/Scenes/SampleScene</w:t>
      </w:r>
    </w:p>
    <w:p w14:paraId="1B9C2B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drawing>
          <wp:inline distT="0" distB="0" distL="114300" distR="114300">
            <wp:extent cx="5269865" cy="2632075"/>
            <wp:effectExtent l="0" t="0" r="3175" b="4445"/>
            <wp:docPr id="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D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86990"/>
            <wp:effectExtent l="0" t="0" r="14605" b="3810"/>
            <wp:docPr id="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3B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0A24B6"/>
    <w:multiLevelType w:val="singleLevel"/>
    <w:tmpl w:val="760A24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69AC"/>
    <w:rsid w:val="163564E0"/>
    <w:rsid w:val="1A1D4FF5"/>
    <w:rsid w:val="1B1F26C0"/>
    <w:rsid w:val="21DB743F"/>
    <w:rsid w:val="2D7715F7"/>
    <w:rsid w:val="3B8120B7"/>
    <w:rsid w:val="43DE0B3F"/>
    <w:rsid w:val="5C6F133F"/>
    <w:rsid w:val="60825D52"/>
    <w:rsid w:val="64AA5441"/>
    <w:rsid w:val="64F54E44"/>
    <w:rsid w:val="65144E9A"/>
    <w:rsid w:val="6D5607B0"/>
    <w:rsid w:val="77E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473</Characters>
  <Lines>0</Lines>
  <Paragraphs>0</Paragraphs>
  <TotalTime>4</TotalTime>
  <ScaleCrop>false</ScaleCrop>
  <LinksUpToDate>false</LinksUpToDate>
  <CharactersWithSpaces>481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2025-05-01T01:44:03Z</dcterms:created>
  <dc:creator>DELL</dc:creator>
  <cp:lastModifiedBy>DELL</cp:lastModifiedBy>
  <dcterms:modified xsi:type="dcterms:W3CDTF">2025-05-01T02:44:52Z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eyJoZGlkIjoiODM2NGE0YjQyMzNmMTAyNDE3YWU2Yzk5MzU0ZjlhYmMifQ==</vt:lpwstr>
  </property>
  <property fmtid="{D5CDD505-2E9C-101B-9397-08002B2CF9AE}" pid="4" name="ICV">
    <vt:lpwstr>8E4D1DC80A9E469AB1F52252C4F08E7C_12</vt:lpwstr>
  </property>
</Properties>
</file>