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4920B1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Draw Calls</w:t>
      </w:r>
    </w:p>
    <w:p w14:paraId="6E550F3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本部分包括编写着色器，以及高效绘制多个物体。</w:t>
      </w:r>
    </w:p>
    <w:p w14:paraId="2A74797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A1FC13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最基本的Shader结构：</w:t>
      </w:r>
    </w:p>
    <w:p w14:paraId="5811E0F2">
      <w:pPr>
        <w:numPr>
          <w:ilvl w:val="0"/>
          <w:numId w:val="0"/>
        </w:numPr>
      </w:pPr>
      <w:r>
        <w:drawing>
          <wp:inline distT="0" distB="0" distL="114300" distR="114300">
            <wp:extent cx="2056765" cy="947420"/>
            <wp:effectExtent l="0" t="0" r="63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5A0C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接下来，可以在Pass模块中写HLSL代码，我们将HLSL代码写到另一个文件再include进来，基本的结构是：</w:t>
      </w:r>
    </w:p>
    <w:p w14:paraId="516E826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320925" cy="991235"/>
            <wp:effectExtent l="0" t="0" r="10795" b="146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972C">
      <w:pPr>
        <w:numPr>
          <w:ilvl w:val="0"/>
          <w:numId w:val="0"/>
        </w:numPr>
      </w:pPr>
      <w:r>
        <w:drawing>
          <wp:inline distT="0" distB="0" distL="114300" distR="114300">
            <wp:extent cx="3372485" cy="1486535"/>
            <wp:effectExtent l="0" t="0" r="10795" b="698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5711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函数里最后冒号后跟的定义表示返回值的语义。</w:t>
      </w:r>
    </w:p>
    <w:p w14:paraId="60C0C2C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此时，用该着色器实例化出的材质已经可以显示效果了：</w:t>
      </w:r>
    </w:p>
    <w:p w14:paraId="3C95EDA3">
      <w:pPr>
        <w:numPr>
          <w:ilvl w:val="0"/>
          <w:numId w:val="0"/>
        </w:numPr>
      </w:pPr>
      <w:r>
        <w:drawing>
          <wp:inline distT="0" distB="0" distL="114300" distR="114300">
            <wp:extent cx="2072640" cy="956310"/>
            <wp:effectExtent l="0" t="0" r="0" b="38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7A4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然后，通过MVP矩阵变换输入的顶点坐标，作为顶点着色器的输出。对应的uniform为：</w:t>
      </w:r>
      <w:r>
        <w:rPr>
          <w:rFonts w:hint="default"/>
          <w:lang w:val="en-US" w:eastAsia="zh-CN"/>
        </w:rPr>
        <w:t>unity_ObjectToWorld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unity_MatrixVP</w:t>
      </w:r>
      <w:r>
        <w:rPr>
          <w:rFonts w:hint="eastAsia"/>
          <w:lang w:val="en-US" w:eastAsia="zh-CN"/>
        </w:rPr>
        <w:t>。此时，可以在正确的位置绘制物体：</w:t>
      </w:r>
    </w:p>
    <w:p w14:paraId="53FAB64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826260" cy="1541145"/>
            <wp:effectExtent l="0" t="0" r="2540" b="133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213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在“Core RP Library”包中，包含了更多的辅助函数，可以通过如下方式引用，使用该头文件的函数需要预定义一些宏，具体的可以查看项目中的代码。</w:t>
      </w:r>
    </w:p>
    <w:p w14:paraId="153B622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"Packages/com.unity.render-pipelines.core/ShaderLibrary/SpaceTransforms.hlsl"</w:t>
      </w:r>
    </w:p>
    <w:p w14:paraId="6F5664A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（不过我觉得这样可能会导致不必要的代码膨胀，或许unity编译时会优化）</w:t>
      </w:r>
    </w:p>
    <w:p w14:paraId="3F2395F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636712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可以在Property块中定义输入的uniform变量，然后在着色器代码中使用：</w:t>
      </w:r>
    </w:p>
    <w:p w14:paraId="38D6DAFE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490595" cy="438785"/>
            <wp:effectExtent l="0" t="0" r="14605" b="317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l="11851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687DA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216910" cy="745490"/>
            <wp:effectExtent l="0" t="0" r="13970" b="127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8ED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08E3B0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下面处理多个物体的draw call。</w:t>
      </w:r>
    </w:p>
    <w:p w14:paraId="4A97B2A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创建76个球体，共5种材质，当前有77个Draw Call：球体+天空盒+Clear（忽略）。</w:t>
      </w:r>
    </w:p>
    <w:p w14:paraId="6D4942DE">
      <w:pPr>
        <w:numPr>
          <w:ilvl w:val="0"/>
          <w:numId w:val="0"/>
        </w:numPr>
      </w:pPr>
      <w:r>
        <w:drawing>
          <wp:inline distT="0" distB="0" distL="114300" distR="114300">
            <wp:extent cx="4371975" cy="1920875"/>
            <wp:effectExtent l="0" t="0" r="1905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EFC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SRP Batcher不会减少Draw Call数量，而是会将材质属性缓存在 GPU 上，因此不必在每次绘制调用时都发送这些属性。但是，我们的Shader需要满足对应的要求。</w:t>
      </w:r>
    </w:p>
    <w:p w14:paraId="78EE419B">
      <w:pPr>
        <w:numPr>
          <w:ilvl w:val="0"/>
          <w:numId w:val="0"/>
        </w:numPr>
      </w:pPr>
      <w:r>
        <w:drawing>
          <wp:inline distT="0" distB="0" distL="114300" distR="114300">
            <wp:extent cx="2724150" cy="532130"/>
            <wp:effectExtent l="0" t="0" r="3810" b="127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A5E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因此，我们需要在具体的内存缓冲区（cbuffer）定义材质属性，具体见代码。</w:t>
      </w:r>
    </w:p>
    <w:p w14:paraId="2B907FA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eastAsia"/>
          <w:lang w:val="en-US" w:eastAsia="zh-CN"/>
        </w:rPr>
        <w:t>除了解</w:t>
      </w:r>
      <w:r>
        <w:rPr>
          <w:rFonts w:hint="eastAsia"/>
          <w:sz w:val="21"/>
          <w:szCs w:val="21"/>
          <w:lang w:val="en-US" w:eastAsia="zh-CN"/>
        </w:rPr>
        <w:t>决兼容问题外，还需要在构造Custom Render Pipeline时启用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GraphicsSettings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useScriptableRenderPipelineBatching</w:t>
      </w:r>
    </w:p>
    <w:p w14:paraId="4B191D44"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717800" cy="918845"/>
            <wp:effectExtent l="0" t="0" r="10160" b="1079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F5E1"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注意到，这里的合并指的是一个优化序列，而不是一个Draw Call。</w:t>
      </w:r>
    </w:p>
    <w:p w14:paraId="77A5DD2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因为SRP Batch要缓</w:t>
      </w:r>
      <w:r>
        <w:rPr>
          <w:rFonts w:hint="eastAsia"/>
          <w:lang w:val="en-US" w:eastAsia="zh-CN"/>
        </w:rPr>
        <w:t>存数据，所以每个材质的内存布局必须相同，每个绘制调用只需要包含到正确内存位置的偏移量。</w:t>
      </w:r>
    </w:p>
    <w:p w14:paraId="0F0CC3CA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C91DE7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接下来，通过脚本为每个球体设置不同颜色。</w:t>
      </w:r>
    </w:p>
    <w:p w14:paraId="6D847DF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在OnValidate里向MarterialPropertyBlock修改对应的uniform，再传给Renderer这个Component即可。向场景里创建24个不一样颜色但是同样材质的球体，是可行的，但是它们的SRP Batch优化被取消了。</w:t>
      </w:r>
    </w:p>
    <w:p w14:paraId="6304639C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333500"/>
            <wp:effectExtent l="0" t="0" r="5715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51F1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5416DC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接下来，尝试使用GPU instancing。</w:t>
      </w:r>
    </w:p>
    <w:p w14:paraId="7F3CDF9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先启用instancing的着色器变体：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#pragma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multi_compile_instancing</w:t>
      </w:r>
    </w:p>
    <w:p w14:paraId="4A7DBA6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接着，我们需要重新定义Matrix的宏，通过数组索引对应数值，通过core RP里的头文件覆盖自己的实现。除此之外，我们还需要知道当前处理的实例索引号。</w:t>
      </w:r>
    </w:p>
    <w:p w14:paraId="5B415DE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然后，修改顶点着色器的输入：</w:t>
      </w:r>
    </w:p>
    <w:p w14:paraId="56CCFDC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71165" cy="863600"/>
            <wp:effectExtent l="0" t="0" r="635" b="508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296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同理，我们也要修改顶点着色器的输出，以便在片元着色器中通过UNITY_ACCESS_ INSTANCED_PROP访问具体的颜色。</w:t>
      </w:r>
    </w:p>
    <w:p w14:paraId="40B53451">
      <w:pPr>
        <w:numPr>
          <w:ilvl w:val="0"/>
          <w:numId w:val="0"/>
        </w:numPr>
      </w:pPr>
      <w:r>
        <w:drawing>
          <wp:inline distT="0" distB="0" distL="114300" distR="114300">
            <wp:extent cx="5268595" cy="1659890"/>
            <wp:effectExtent l="0" t="0" r="4445" b="127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8D65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可以看到，24个球体的Draw Call节省了22个。网站提示说如果每个实例的内存占用比较多，可能会导致Batch被分开。</w:t>
      </w:r>
    </w:p>
    <w:p w14:paraId="667270E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57B721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可以编写脚本生成1023个球体的随机位置和颜色，通过</w:t>
      </w:r>
      <w:r>
        <w:rPr>
          <w:rFonts w:hint="default"/>
          <w:lang w:val="en-US" w:eastAsia="zh-CN"/>
        </w:rPr>
        <w:t>Graphics.DrawMeshInstanced</w:t>
      </w:r>
      <w:r>
        <w:rPr>
          <w:rFonts w:hint="eastAsia"/>
          <w:lang w:val="en-US" w:eastAsia="zh-CN"/>
        </w:rPr>
        <w:t>实现实例绘制（代码见MeshBall）：</w:t>
      </w:r>
    </w:p>
    <w:p w14:paraId="20675A6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bookmarkStart w:id="0" w:name="_GoBack"/>
      <w:r>
        <w:drawing>
          <wp:inline distT="0" distB="0" distL="114300" distR="114300">
            <wp:extent cx="4133215" cy="1804035"/>
            <wp:effectExtent l="0" t="0" r="12065" b="952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3FC961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只多了3个Draw Call，这里的数量与单个Draw Call的缓冲区内存限制有关</w:t>
      </w:r>
    </w:p>
    <w:p w14:paraId="2809E42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注意，网格体的绘制顺序与我们提供数据的顺序相同。</w:t>
      </w:r>
    </w:p>
    <w:p w14:paraId="66B7FAB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2414B2E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还有第三种减少Draw Call的方法，叫动态批处理，它可以把共享一个材质的多个小网格体合并为一个大网格体。可以在Pipeline中绘制Unlit的DrawSettings中打开，同时需要关闭Instancing，并把之前的SRP Batching关闭。</w:t>
      </w:r>
    </w:p>
    <w:p w14:paraId="1CE3B4A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5271135" cy="1421765"/>
            <wp:effectExtent l="0" t="0" r="1905" b="1079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69C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格体要尽可能简单，不能使用每个物体设置不同材质属性的方法，合并的结果如上所示。并且，因为合并为单个网格，所以网站说，当涉及不同的尺度时，不能保证较大网格的法向量是单位长度，此外，绘制顺序也会发生变化。</w:t>
      </w:r>
    </w:p>
    <w:p w14:paraId="3DDDABD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1DF4815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此外，还有静态批处理，但那是预先合并网格的方法，Pipeline无需关注这点。</w:t>
      </w:r>
    </w:p>
    <w:p w14:paraId="2F6A7B3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4095750" cy="1676400"/>
            <wp:effectExtent l="0" t="0" r="381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0F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最后，把这三种优化的配置设置为Custom RP Asset的可配置内容，在CreatePipeline时传给流水线即可。</w:t>
      </w:r>
    </w:p>
    <w:p w14:paraId="72A2954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6FA67C7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下面为我们的Shader支持透明物体的绘制。</w:t>
      </w:r>
    </w:p>
    <w:p w14:paraId="0F15F20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把Blend模式和ZWrite作为材质属性暴露出来，对于透明物体，设置RenderQueue为Transparent。</w:t>
      </w:r>
    </w:p>
    <w:p w14:paraId="78166F3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4334510" cy="2044700"/>
            <wp:effectExtent l="0" t="0" r="8890" b="1270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CAA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设置纹理为材质属性时，Shader代码中要有纹理以及采样器的uniform代码。并且，纹理属性是全局的，不能按实例提供一个数组。但是纹理的Tiling和Offset可以是PerObject的，它们被存在一个float4中上传。</w:t>
      </w:r>
    </w:p>
    <w:p w14:paraId="0A509EC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在顶点着色器中对输入的UV做处理后，在片元着色器中采样即可。</w:t>
      </w:r>
    </w:p>
    <w:p w14:paraId="39D84FF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221480" cy="1745615"/>
            <wp:effectExtent l="0" t="0" r="0" b="698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73A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</w:p>
    <w:p w14:paraId="4DD5EA3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我们还可以通过clip函数实现alpha剪切，但是AlphaClip需要通过AlphaTest实现，而不是Blending。</w:t>
      </w:r>
    </w:p>
    <w:p w14:paraId="36AA225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054860"/>
            <wp:effectExtent l="0" t="0" r="2540" b="254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061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通过设置一个开关来管理一个宏定义，该宏定义是一个ShaderFeature，用于生成不同的着色器变体，进而实现代码分支的控制。</w:t>
      </w:r>
    </w:p>
    <w:p w14:paraId="23CE426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434A2C33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此外，可以把AlphaCutoff作为PerObject的属性，并在之前的MeshBall中实现更多效果：</w:t>
      </w:r>
    </w:p>
    <w:p w14:paraId="3C8BB67B">
      <w:r>
        <w:drawing>
          <wp:inline distT="0" distB="0" distL="114300" distR="114300">
            <wp:extent cx="5271135" cy="2125345"/>
            <wp:effectExtent l="0" t="0" r="1905" b="825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0352D02"/>
    <w:rsid w:val="3C8A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2025-04-28T13:18:56Z</dcterms:created>
  <dc:creator>DELL</dc:creator>
  <cp:lastModifiedBy>DELL</cp:lastModifiedBy>
  <dcterms:modified xsi:type="dcterms:W3CDTF">2025-04-28T13:20:14Z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eyJoZGlkIjoiODM2NGE0YjQyMzNmMTAyNDE3YWU2Yzk5MzU0ZjlhYmMifQ==</vt:lpwstr>
  </property>
  <property fmtid="{D5CDD505-2E9C-101B-9397-08002B2CF9AE}" pid="4" name="ICV">
    <vt:lpwstr>27A208DB3EAC4025A6B878375F83C0BD_12</vt:lpwstr>
  </property>
</Properties>
</file>