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D7D1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Unity SRP学习</w:t>
      </w:r>
    </w:p>
    <w:p w14:paraId="04855F3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一、Custom Render Pipeline（RP）</w:t>
      </w:r>
    </w:p>
    <w:p w14:paraId="48A68B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Unity 2018：the Lightweight RP and the High Definition RP.</w:t>
      </w:r>
    </w:p>
    <w:p w14:paraId="32E523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Unity 2019：the Universal RP and the High Definition RP.</w:t>
      </w:r>
    </w:p>
    <w:p w14:paraId="5466689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本教程第一阶段将实现一个绘制Unlit材质的自定义管线</w:t>
      </w:r>
    </w:p>
    <w:p w14:paraId="58EA5B09">
      <w:pPr>
        <w:rPr>
          <w:rFonts w:hint="default"/>
          <w:lang w:val="en-US" w:eastAsia="zh-CN"/>
        </w:rPr>
      </w:pPr>
    </w:p>
    <w:p w14:paraId="326D8D8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创建自定义的RP，首先需要一个CustomRenderPipelineAsset类和CustomRenderPipeline类。</w:t>
      </w:r>
    </w:p>
    <w:p w14:paraId="2C19D1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前者重写CreatePipeline方法，返回后者的一个实例，后者通过Render方法作为自定义SRP的入口。</w:t>
      </w:r>
    </w:p>
    <w:p w14:paraId="0A187B07">
      <w:pPr>
        <w:rPr>
          <w:rFonts w:hint="eastAsia"/>
          <w:lang w:val="en-US" w:eastAsia="zh-CN"/>
        </w:rPr>
      </w:pPr>
    </w:p>
    <w:p w14:paraId="139369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注册自定义的CameraRenderer类，包含ScriptableRenderContext和Camera两个成员，在CustomRenderPipeline类的Render方法中，遍历所有相机并调用该Renderer类的绘制接口。</w:t>
      </w:r>
    </w:p>
    <w:p w14:paraId="705D4A4C">
      <w:pPr>
        <w:rPr>
          <w:rFonts w:hint="eastAsia"/>
          <w:lang w:val="en-US" w:eastAsia="zh-CN"/>
        </w:rPr>
      </w:pPr>
    </w:p>
    <w:p w14:paraId="472571E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首先尝试绘制天空盒，分成三步：1.向context注册相机属性；2.调用DrawSkybox；3.提交context中的命令。</w:t>
      </w:r>
    </w:p>
    <w:p w14:paraId="10991BE9">
      <w:pPr>
        <w:rPr>
          <w:rFonts w:hint="default"/>
          <w:lang w:val="en-US" w:eastAsia="zh-CN"/>
        </w:rPr>
      </w:pPr>
    </w:p>
    <w:p w14:paraId="37C4158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得到：</w:t>
      </w:r>
    </w:p>
    <w:p w14:paraId="3DEFBADB">
      <w:r>
        <w:drawing>
          <wp:inline distT="0" distB="0" distL="114300" distR="114300">
            <wp:extent cx="3612515" cy="1555750"/>
            <wp:effectExtent l="0" t="0" r="1460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1251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B4AD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21200" cy="2106930"/>
            <wp:effectExtent l="0" t="0" r="508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1EFE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注：可以通过</w:t>
      </w:r>
      <w:r>
        <w:rPr>
          <w:rFonts w:hint="default"/>
          <w:lang w:val="en-US" w:eastAsia="zh-CN"/>
        </w:rPr>
        <w:t> Window / Analysis / Frame Debugger 打开帧调试器</w:t>
      </w:r>
      <w:r>
        <w:rPr>
          <w:rFonts w:hint="eastAsia"/>
          <w:lang w:val="en-US" w:eastAsia="zh-CN"/>
        </w:rPr>
        <w:t>查看绘制步骤。</w:t>
      </w:r>
    </w:p>
    <w:p w14:paraId="16316307">
      <w:pPr>
        <w:rPr>
          <w:rFonts w:hint="eastAsia"/>
          <w:lang w:val="en-US" w:eastAsia="zh-CN"/>
        </w:rPr>
      </w:pPr>
    </w:p>
    <w:p w14:paraId="096F8F7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为了绘制其他物体，需要创建命令缓冲区，作为renderer类的一个成员变量。</w:t>
      </w:r>
    </w:p>
    <w:p w14:paraId="3EA65C3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在设置上下文时，清空缓冲区并开始采样；在提交上下文前，停止采样，并向上下文内写入命令缓冲区的命令。</w:t>
      </w:r>
    </w:p>
    <w:p w14:paraId="7E1F6D94">
      <w:pPr>
        <w:rPr>
          <w:rFonts w:hint="default"/>
          <w:lang w:val="en-US" w:eastAsia="zh-CN"/>
        </w:rPr>
      </w:pPr>
    </w:p>
    <w:p w14:paraId="150113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为了获取需要绘制的物体，在每帧的开始，将相机的视锥体信息提交给context，获取视锥体剔除后的物体信息。</w:t>
      </w:r>
    </w:p>
    <w:p w14:paraId="121B3E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在DrawVisibleGeometry中，通过相机设置物体排序方式（sortingSettings），通过shaderTagId和排序方式设置绘制方式（drawingSettings），通过指定RenderQueueRange设置过滤方式（filterSettings），再把它们和剔除结果一起传给context的DrawRenderer方法：</w:t>
      </w:r>
    </w:p>
    <w:p w14:paraId="3E7627E6">
      <w:pPr>
        <w:rPr>
          <w:rFonts w:hint="eastAsia"/>
          <w:lang w:val="en-US" w:eastAsia="zh-CN"/>
        </w:rPr>
      </w:pPr>
    </w:p>
    <w:p w14:paraId="02C2422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shaderTagId = SRPDefaultUnlit</w:t>
      </w:r>
    </w:p>
    <w:p w14:paraId="063A11AB">
      <w:r>
        <w:drawing>
          <wp:inline distT="0" distB="0" distL="114300" distR="114300">
            <wp:extent cx="3777615" cy="1657985"/>
            <wp:effectExtent l="0" t="0" r="1905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646F6"/>
    <w:p w14:paraId="7DB8BD4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因为先绘制透明物体，再绘制天空盒，且前者未写入深度缓冲区，所以显示结果如上所示。</w:t>
      </w:r>
    </w:p>
    <w:p w14:paraId="5379C7A3">
      <w:pPr>
        <w:rPr>
          <w:rFonts w:hint="default"/>
          <w:lang w:val="en-US" w:eastAsia="zh-CN"/>
        </w:rPr>
      </w:pPr>
    </w:p>
    <w:p w14:paraId="743E1CB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因此，在第一次调用DrawRenderer时，限制过滤范围为不透明物体；在绘制天空盒后，再调用DrawRenderer，限制过滤范围为透明物体。</w:t>
      </w:r>
    </w:p>
    <w:p w14:paraId="4BC0A92A">
      <w:pPr>
        <w:rPr>
          <w:rFonts w:hint="eastAsia"/>
          <w:lang w:val="en-US" w:eastAsia="zh-CN"/>
        </w:rPr>
      </w:pPr>
    </w:p>
    <w:p w14:paraId="2433205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得到正确的结果：</w:t>
      </w:r>
    </w:p>
    <w:p w14:paraId="49BB0113">
      <w:r>
        <w:drawing>
          <wp:inline distT="0" distB="0" distL="114300" distR="114300">
            <wp:extent cx="4777740" cy="1543685"/>
            <wp:effectExtent l="0" t="0" r="7620" b="1079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339B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透明物体按实例从后向前绘制，但这并不是完全正确的</w:t>
      </w:r>
      <w:r>
        <w:rPr>
          <w:rFonts w:hint="eastAsia"/>
          <w:lang w:eastAsia="zh-CN"/>
        </w:rPr>
        <w:t>）</w:t>
      </w:r>
    </w:p>
    <w:p w14:paraId="3CD5B00A">
      <w:pPr>
        <w:rPr>
          <w:rFonts w:hint="eastAsia"/>
          <w:lang w:eastAsia="zh-CN"/>
        </w:rPr>
      </w:pPr>
    </w:p>
    <w:p w14:paraId="793EC6B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下一步，准备拓展绘制的对象范围。</w:t>
      </w:r>
    </w:p>
    <w:p w14:paraId="5DCFB404">
      <w:pPr>
        <w:rPr>
          <w:rFonts w:hint="eastAsia"/>
          <w:lang w:val="en-US" w:eastAsia="zh-CN"/>
        </w:rPr>
      </w:pPr>
    </w:p>
    <w:p w14:paraId="67690D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记录所有合法的ShaderTagId，依次注册给drawingSettings里的shaderPassName，再用“错误”材质替代原有材质，并使用默认的filterSetting绘制：</w:t>
      </w:r>
    </w:p>
    <w:p w14:paraId="36C82B09">
      <w:r>
        <w:drawing>
          <wp:inline distT="0" distB="0" distL="114300" distR="114300">
            <wp:extent cx="3645535" cy="1518920"/>
            <wp:effectExtent l="0" t="0" r="12065" b="50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E377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进一步的，通过partial关键字分离代码，并通过#if UNITY_EDITOR控制“错误”材质的绘制。</w:t>
      </w:r>
    </w:p>
    <w:p w14:paraId="3732A62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下一步，准备绘制Gizmo。该步骤在所有绘制的最后执行。</w:t>
      </w:r>
    </w:p>
    <w:p w14:paraId="5F6B27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通过Handles.ShouldRenderGizmos判断是否绘制Gizmo，然后直接调用context的对应接口即可，要对PreImage的部分和PostImage的部分都进行调用。</w:t>
      </w:r>
    </w:p>
    <w:p w14:paraId="5F0F1166">
      <w:r>
        <w:drawing>
          <wp:inline distT="0" distB="0" distL="114300" distR="114300">
            <wp:extent cx="3577590" cy="1584960"/>
            <wp:effectExtent l="0" t="0" r="381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E07D8"/>
    <w:p w14:paraId="045B836F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为了在编辑界面绘制游戏内UI，先把主相机传给Canvas，再在视锥剔除之前通过</w:t>
      </w:r>
      <w:r>
        <w:rPr>
          <w:rFonts w:hint="default"/>
          <w:lang w:val="en-US" w:eastAsia="zh-CN"/>
        </w:rPr>
        <w:t>ScriptableRenderContext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EmitWorldGeometryForSceneView</w:t>
      </w:r>
      <w:r>
        <w:rPr>
          <w:rFonts w:hint="eastAsia"/>
          <w:lang w:val="en-US" w:eastAsia="zh-CN"/>
        </w:rPr>
        <w:t>注册对应的几何体。</w:t>
      </w:r>
    </w:p>
    <w:p w14:paraId="02E7956B">
      <w:r>
        <w:drawing>
          <wp:inline distT="0" distB="0" distL="114300" distR="114300">
            <wp:extent cx="3810635" cy="1678940"/>
            <wp:effectExtent l="0" t="0" r="14605" b="1270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F32B6"/>
    <w:p w14:paraId="4F5575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接下来，处理多个相机的情况，场景中存在多个相机时，会按照它们的"Depth"属性递增进行绘制。ClearFlags从1到4依次是</w:t>
      </w: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>Skybox</w:t>
      </w:r>
      <w:r>
        <w:rPr>
          <w:rFonts w:hint="default"/>
          <w:lang w:val="en-US" w:eastAsia="zh-CN"/>
        </w:rPr>
        <w:t>、Color、Depth 和 Nothing</w:t>
      </w:r>
      <w:r>
        <w:rPr>
          <w:rFonts w:hint="eastAsia"/>
          <w:lang w:val="en-US" w:eastAsia="zh-CN"/>
        </w:rPr>
        <w:t>。因此在进行最开始的Clear时，可以根据相机的Flag调整设置。</w:t>
      </w:r>
    </w:p>
    <w:p w14:paraId="55CFEB1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调整第二个相机的ClearFlags和Viewport Rect属性，可以得到有趣的结果：</w:t>
      </w:r>
    </w:p>
    <w:p w14:paraId="53FF1DB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63340" cy="1694815"/>
            <wp:effectExtent l="0" t="0" r="7620" b="1206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4A4E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注：还可以通过Layer修改每个相机绘制的内容。</w:t>
      </w:r>
    </w:p>
    <w:p w14:paraId="39AE16C1">
      <w:pPr>
        <w:rPr>
          <w:rFonts w:hint="default"/>
          <w:lang w:val="en-US" w:eastAsia="zh-CN"/>
        </w:rPr>
      </w:pPr>
    </w:p>
    <w:p w14:paraId="4C82991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第一节结束。</w:t>
      </w:r>
    </w:p>
    <w:p w14:paraId="6615972F">
      <w:pPr>
        <w:rPr>
          <w:rFonts w:hint="eastAsia"/>
          <w:lang w:val="en-US" w:eastAsia="zh-CN"/>
        </w:rPr>
      </w:pPr>
    </w:p>
    <w:p w14:paraId="7B4920B1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Draw Calls</w:t>
      </w:r>
    </w:p>
    <w:p w14:paraId="6E550F3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本部分包括编写着色器，以及高效绘制多个物体。</w:t>
      </w:r>
    </w:p>
    <w:p w14:paraId="2A747977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A1FC137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最基本的Shader结构：</w:t>
      </w:r>
    </w:p>
    <w:p w14:paraId="5811E0F2">
      <w:pPr>
        <w:numPr>
          <w:ilvl w:val="0"/>
          <w:numId w:val="0"/>
        </w:numPr>
      </w:pPr>
      <w:r>
        <w:drawing>
          <wp:inline distT="0" distB="0" distL="114300" distR="114300">
            <wp:extent cx="2056765" cy="947420"/>
            <wp:effectExtent l="0" t="0" r="635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5A0C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接下来，可以在Pass模块中写HLSL代码，我们将HLSL代码写到另一个文件再include进来，基本的结构是：</w:t>
      </w:r>
    </w:p>
    <w:p w14:paraId="516E826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320925" cy="991235"/>
            <wp:effectExtent l="0" t="0" r="10795" b="1460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5972C">
      <w:pPr>
        <w:numPr>
          <w:ilvl w:val="0"/>
          <w:numId w:val="0"/>
        </w:numPr>
      </w:pPr>
      <w:r>
        <w:drawing>
          <wp:inline distT="0" distB="0" distL="114300" distR="114300">
            <wp:extent cx="3372485" cy="1486535"/>
            <wp:effectExtent l="0" t="0" r="10795" b="698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5711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函数里最后冒号后跟的定义表示返回值的语义。</w:t>
      </w:r>
    </w:p>
    <w:p w14:paraId="60C0C2C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此时，用该着色器实例化出的材质已经可以显示效果了：</w:t>
      </w:r>
    </w:p>
    <w:p w14:paraId="3C95EDA3">
      <w:pPr>
        <w:numPr>
          <w:ilvl w:val="0"/>
          <w:numId w:val="0"/>
        </w:numPr>
      </w:pPr>
      <w:r>
        <w:drawing>
          <wp:inline distT="0" distB="0" distL="114300" distR="114300">
            <wp:extent cx="2072640" cy="956310"/>
            <wp:effectExtent l="0" t="0" r="0" b="381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87A4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然后，通过MVP矩阵变换输入的顶点坐标，作为顶点着色器的输出。对应的uniform为：</w:t>
      </w:r>
      <w:r>
        <w:rPr>
          <w:rFonts w:hint="default"/>
          <w:lang w:val="en-US" w:eastAsia="zh-CN"/>
        </w:rPr>
        <w:t>unity_ObjectToWorld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unity_MatrixVP</w:t>
      </w:r>
      <w:r>
        <w:rPr>
          <w:rFonts w:hint="eastAsia"/>
          <w:lang w:val="en-US" w:eastAsia="zh-CN"/>
        </w:rPr>
        <w:t>。此时，可以在正确的位置绘制物体：</w:t>
      </w:r>
    </w:p>
    <w:p w14:paraId="53FAB64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826260" cy="1541145"/>
            <wp:effectExtent l="0" t="0" r="2540" b="1333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6260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213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在“Core RP Library”包中，包含了更多的辅助函数，可以通过如下方式引用，使用该头文件的函数需要预定义一些宏，具体的可以查看项目中的代码。</w:t>
      </w:r>
    </w:p>
    <w:p w14:paraId="153B622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6"/>
          <w:szCs w:val="16"/>
          <w:shd w:val="clear" w:fill="FFFFFF"/>
          <w:lang w:val="en-US" w:eastAsia="zh-CN" w:bidi="ar"/>
        </w:rPr>
        <w:t>"Packages/com.unity.render-pipelines.core/ShaderLibrary/SpaceTransforms.hlsl"</w:t>
      </w:r>
    </w:p>
    <w:p w14:paraId="6F5664A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（不过我觉得这样可能会导致不必要的代码膨胀，或许unity编译时会优化）</w:t>
      </w:r>
    </w:p>
    <w:p w14:paraId="3F2395F3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636712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可以在Property块中定义输入的uniform变量，然后在着色器代码中使用：</w:t>
      </w:r>
    </w:p>
    <w:p w14:paraId="38D6DAFE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490595" cy="438785"/>
            <wp:effectExtent l="0" t="0" r="14605" b="317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rcRect l="11851"/>
                    <a:stretch>
                      <a:fillRect/>
                    </a:stretch>
                  </pic:blipFill>
                  <pic:spPr>
                    <a:xfrm>
                      <a:off x="0" y="0"/>
                      <a:ext cx="349059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687DA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417570" cy="791845"/>
            <wp:effectExtent l="0" t="0" r="11430" b="63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757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08EDC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08E3B0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下面处理多个物体的draw call。</w:t>
      </w:r>
    </w:p>
    <w:p w14:paraId="4A97B2A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创建76个球体，共5种材质，当前有77个Draw Call：球体+天空盒+Clear（忽略）。</w:t>
      </w:r>
    </w:p>
    <w:p w14:paraId="6D4942DE">
      <w:pPr>
        <w:numPr>
          <w:ilvl w:val="0"/>
          <w:numId w:val="0"/>
        </w:numPr>
      </w:pPr>
      <w:r>
        <w:drawing>
          <wp:inline distT="0" distB="0" distL="114300" distR="114300">
            <wp:extent cx="5272405" cy="2316480"/>
            <wp:effectExtent l="0" t="0" r="63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9EFC5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SRP Batcher不会减少Draw Call数量，而是会将材质属性缓存在 GPU 上，因此不必在每次绘制调用时都发送这些属性。但是，我们的Shader需要满足对应的要求。</w:t>
      </w:r>
    </w:p>
    <w:p w14:paraId="78EE419B">
      <w:pPr>
        <w:numPr>
          <w:ilvl w:val="0"/>
          <w:numId w:val="0"/>
        </w:numPr>
      </w:pPr>
      <w:r>
        <w:drawing>
          <wp:inline distT="0" distB="0" distL="114300" distR="114300">
            <wp:extent cx="2724150" cy="532130"/>
            <wp:effectExtent l="0" t="0" r="3810" b="127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AA5E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因此，我们需要在具体的内存缓冲区（cbuffer）定义材质属性，具体见代码。</w:t>
      </w:r>
    </w:p>
    <w:p w14:paraId="2B907FA7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eastAsia"/>
          <w:lang w:val="en-US" w:eastAsia="zh-CN"/>
        </w:rPr>
        <w:t>除了解</w:t>
      </w:r>
      <w:r>
        <w:rPr>
          <w:rFonts w:hint="eastAsia"/>
          <w:sz w:val="21"/>
          <w:szCs w:val="21"/>
          <w:lang w:val="en-US" w:eastAsia="zh-CN"/>
        </w:rPr>
        <w:t>决兼容问题外，还需要在构造Custom Render Pipeline时启用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GraphicsSettings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useScriptableRenderPipelineBatching</w:t>
      </w:r>
    </w:p>
    <w:p w14:paraId="4B191D44"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717800" cy="918845"/>
            <wp:effectExtent l="0" t="0" r="10160" b="1079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AF5E1"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注意到，这里的合并指的是一个优化序列，而不是一个Draw Call。</w:t>
      </w:r>
    </w:p>
    <w:p w14:paraId="77A5DD2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因为SRP Batch要缓</w:t>
      </w:r>
      <w:r>
        <w:rPr>
          <w:rFonts w:hint="eastAsia"/>
          <w:lang w:val="en-US" w:eastAsia="zh-CN"/>
        </w:rPr>
        <w:t>存数据，所以每个材质的内存布局必须相同，每个绘制调用只需要包含到正确内存位置的偏移量。</w:t>
      </w:r>
    </w:p>
    <w:p w14:paraId="0F0CC3CA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7C91DE76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接下来，通过脚本为每个球体设置不同颜色。</w:t>
      </w:r>
    </w:p>
    <w:p w14:paraId="6D847DF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在OnValidate里向MarterialPropertyBlock修改对应的uniform，再传给Renderer这个Component即可。向场景里创建24个不一样颜色但是同样材质的球体，是可行的，但是它们的SRP Batch优化被取消了。</w:t>
      </w:r>
    </w:p>
    <w:p w14:paraId="6304639C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333500"/>
            <wp:effectExtent l="0" t="0" r="5715" b="762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51F16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55416DC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接下来，尝试使用GPU instancing。</w:t>
      </w:r>
    </w:p>
    <w:p w14:paraId="7F3CDF9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先启用instancing的着色器变体：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16"/>
          <w:szCs w:val="16"/>
          <w:shd w:val="clear" w:fill="FFFFFF"/>
          <w:lang w:val="en-US" w:eastAsia="zh-CN" w:bidi="ar"/>
        </w:rPr>
        <w:t>#pragma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F"/>
          <w:lang w:val="en-US" w:eastAsia="zh-CN" w:bidi="ar"/>
        </w:rPr>
        <w:t xml:space="preserve"> multi_compile_instancing</w:t>
      </w:r>
    </w:p>
    <w:p w14:paraId="4A7DBA6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接着，我们需要重新定义Matrix的宏，通过数组索引对应数值，通过core RP里的头文件覆盖自己的实现。除此之外，我们还需要知道当前处理的实例索引号。</w:t>
      </w:r>
    </w:p>
    <w:p w14:paraId="5B415DE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然后，修改顶点着色器的输入：</w:t>
      </w:r>
    </w:p>
    <w:p w14:paraId="56CCFDCB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971165" cy="863600"/>
            <wp:effectExtent l="0" t="0" r="635" b="508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9296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同理，我们也要修改顶点着色器的输出，以便在片元着色器中通过UNITY_ACCESS_ INSTANCED_PROP访问具体的颜色。</w:t>
      </w:r>
    </w:p>
    <w:p w14:paraId="40B53451">
      <w:pPr>
        <w:numPr>
          <w:ilvl w:val="0"/>
          <w:numId w:val="0"/>
        </w:numPr>
      </w:pPr>
      <w:r>
        <w:drawing>
          <wp:inline distT="0" distB="0" distL="114300" distR="114300">
            <wp:extent cx="5268595" cy="1659890"/>
            <wp:effectExtent l="0" t="0" r="4445" b="127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8D65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可以看到，24个球体的Draw Call节省了22个。网站提示说如果每个实例的内存占用比较多，可能会导致Batch被分开。</w:t>
      </w:r>
    </w:p>
    <w:p w14:paraId="667270E9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57B7218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可以编写脚本生成1023个球体的随机位置和颜色，通过</w:t>
      </w:r>
      <w:r>
        <w:rPr>
          <w:rFonts w:hint="default"/>
          <w:lang w:val="en-US" w:eastAsia="zh-CN"/>
        </w:rPr>
        <w:t>Graphics.DrawMeshInstanced</w:t>
      </w:r>
      <w:r>
        <w:rPr>
          <w:rFonts w:hint="eastAsia"/>
          <w:lang w:val="en-US" w:eastAsia="zh-CN"/>
        </w:rPr>
        <w:t>实现实例绘制（代码见MeshBall）：</w:t>
      </w:r>
    </w:p>
    <w:p w14:paraId="20675A62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4451985" cy="1943100"/>
            <wp:effectExtent l="0" t="0" r="13335" b="762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198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C9618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只多了3个Draw Call，这里的数量与单个Draw Call的缓冲区内存限制有关</w:t>
      </w:r>
    </w:p>
    <w:p w14:paraId="2809E429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注意，网格体的绘制顺序与我们提供数据的顺序相同。</w:t>
      </w:r>
    </w:p>
    <w:p w14:paraId="66B7FAB2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</w:p>
    <w:p w14:paraId="2414B2E2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还有第三种减少Draw Call的方法，叫动态批处理，它可以把共享一个材质的多个小网格体合并为一个大网格体。可以在Pipeline中绘制Unlit的DrawSettings中打开，同时需要关闭Instancing，并把之前的SRP Batching关闭。</w:t>
      </w:r>
    </w:p>
    <w:p w14:paraId="1CE3B4AA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5271135" cy="1421765"/>
            <wp:effectExtent l="0" t="0" r="1905" b="1079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D69C5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格体要尽可能简单，不能使用每个物体设置不同材质属性的方法，合并的结果如上所示。并且，因为合并为单个网格，所以网站说，当涉及不同的尺度时，不能保证较大网格的法向量是单位长度，此外，绘制顺序也会发生变化。</w:t>
      </w:r>
    </w:p>
    <w:p w14:paraId="3DDDABD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</w:p>
    <w:p w14:paraId="1DF4815C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此外，还有静态批处理，但那是预先合并网格的方法，Pipeline无需关注这点。</w:t>
      </w:r>
    </w:p>
    <w:p w14:paraId="2F6A7B37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4095750" cy="1676400"/>
            <wp:effectExtent l="0" t="0" r="381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DD0F5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最后，把这三种优化的配置设置为Custom RP Asset的可配置内容，在CreatePipeline时传给流水线即可。</w:t>
      </w:r>
    </w:p>
    <w:p w14:paraId="72A2954F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</w:p>
    <w:p w14:paraId="6FA67C7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下面为我们的Shader支持透明物体的绘制。</w:t>
      </w:r>
    </w:p>
    <w:p w14:paraId="0F15F208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把Blend模式和ZWrite作为材质属性暴露出来，对于透明物体，设置RenderQueue为Transparent。</w:t>
      </w:r>
    </w:p>
    <w:p w14:paraId="78166F3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4334510" cy="2044700"/>
            <wp:effectExtent l="0" t="0" r="8890" b="1270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FCAA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设置纹理为材质属性时，Shader代码中要有纹理以及采样器的uniform代码。并且，纹理属性是全局的，不能按实例提供一个数组。但是纹理的Tiling和Offset可以是PerObject的，它们被存在一个float4中上传。</w:t>
      </w:r>
    </w:p>
    <w:p w14:paraId="0A509ECE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在顶点着色器中对输入的UV做处理后，在片元着色器中采样即可。</w:t>
      </w:r>
    </w:p>
    <w:p w14:paraId="39D84FF8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221480" cy="1745615"/>
            <wp:effectExtent l="0" t="0" r="0" b="698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173A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</w:p>
    <w:p w14:paraId="4DD5EA39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我们还可以通过clip函数实现alpha剪切，但是AlphaClip需要通过AlphaTest实现，而不是Blending。</w:t>
      </w:r>
    </w:p>
    <w:p w14:paraId="36AA2259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054860"/>
            <wp:effectExtent l="0" t="0" r="2540" b="254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00615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通过设置一个开关来管理一个宏定义，该宏定义是一个ShaderFeature，用于生成不同的着色器变体，进而实现代码分支的控制。</w:t>
      </w:r>
    </w:p>
    <w:p w14:paraId="23CE4262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</w:p>
    <w:p w14:paraId="434A2C33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此外，可以把AlphaCutoff作为PerObject的属性，并在之前的MeshBall中实现更多效果：</w:t>
      </w:r>
    </w:p>
    <w:p w14:paraId="4537B448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125345"/>
            <wp:effectExtent l="0" t="0" r="1905" b="825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17A0E2F"/>
    <w:multiLevelType w:val="singleLevel"/>
    <w:tmpl w:val="217A0E2F"/>
    <w:lvl w:ilvl="0" w:tentative="0">
      <w:start w:val="2"/>
      <w:numFmt w:val="chineseCounting"/>
      <w:suff w:val="space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AC5996"/>
    <w:rsid w:val="01A3653E"/>
    <w:rsid w:val="01DC6760"/>
    <w:rsid w:val="02E86485"/>
    <w:rsid w:val="02EE198E"/>
    <w:rsid w:val="03A85F4C"/>
    <w:rsid w:val="055E3184"/>
    <w:rsid w:val="06CC2A01"/>
    <w:rsid w:val="0A7A141B"/>
    <w:rsid w:val="0BD86383"/>
    <w:rsid w:val="0C53459F"/>
    <w:rsid w:val="0C767774"/>
    <w:rsid w:val="0ECD1287"/>
    <w:rsid w:val="0EDC17EB"/>
    <w:rsid w:val="102A08DD"/>
    <w:rsid w:val="113D2503"/>
    <w:rsid w:val="11452103"/>
    <w:rsid w:val="135E053E"/>
    <w:rsid w:val="13D641B3"/>
    <w:rsid w:val="195E2156"/>
    <w:rsid w:val="19C047AB"/>
    <w:rsid w:val="1A806A40"/>
    <w:rsid w:val="1C2377F5"/>
    <w:rsid w:val="1C546627"/>
    <w:rsid w:val="1CEC4CB6"/>
    <w:rsid w:val="1E422C6B"/>
    <w:rsid w:val="1E700542"/>
    <w:rsid w:val="21320625"/>
    <w:rsid w:val="21EF4650"/>
    <w:rsid w:val="23B3248C"/>
    <w:rsid w:val="26AC5996"/>
    <w:rsid w:val="2C1665B5"/>
    <w:rsid w:val="2EF54203"/>
    <w:rsid w:val="31F72ABA"/>
    <w:rsid w:val="32536B0B"/>
    <w:rsid w:val="3642654D"/>
    <w:rsid w:val="36DC4D56"/>
    <w:rsid w:val="37CC72F0"/>
    <w:rsid w:val="393C1F88"/>
    <w:rsid w:val="3AB94C04"/>
    <w:rsid w:val="3C1F3843"/>
    <w:rsid w:val="3EE3747B"/>
    <w:rsid w:val="3F4C75BF"/>
    <w:rsid w:val="3FF31A4A"/>
    <w:rsid w:val="44015D77"/>
    <w:rsid w:val="46F95963"/>
    <w:rsid w:val="4A6061BB"/>
    <w:rsid w:val="4F666635"/>
    <w:rsid w:val="508A0E4B"/>
    <w:rsid w:val="52762AE3"/>
    <w:rsid w:val="52771E1C"/>
    <w:rsid w:val="55C63EB2"/>
    <w:rsid w:val="56D26EDD"/>
    <w:rsid w:val="578A7282"/>
    <w:rsid w:val="5BA150F8"/>
    <w:rsid w:val="5D7C3BC1"/>
    <w:rsid w:val="5D8D4EC1"/>
    <w:rsid w:val="5EED29D0"/>
    <w:rsid w:val="5F772160"/>
    <w:rsid w:val="64D65C06"/>
    <w:rsid w:val="64F12655"/>
    <w:rsid w:val="64F66138"/>
    <w:rsid w:val="651C325A"/>
    <w:rsid w:val="6681187E"/>
    <w:rsid w:val="6A7449B2"/>
    <w:rsid w:val="6C747F6D"/>
    <w:rsid w:val="6DB46949"/>
    <w:rsid w:val="6F0F7E78"/>
    <w:rsid w:val="70F723BF"/>
    <w:rsid w:val="75907680"/>
    <w:rsid w:val="78767001"/>
    <w:rsid w:val="79A24371"/>
    <w:rsid w:val="7C566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Emphasis"/>
    <w:basedOn w:val="4"/>
    <w:qFormat/>
    <w:uiPriority w:val="0"/>
    <w:rPr>
      <w:i/>
    </w:rPr>
  </w:style>
  <w:style w:type="character" w:styleId="6">
    <w:name w:val="Hyperlink"/>
    <w:basedOn w:val="4"/>
    <w:uiPriority w:val="0"/>
    <w:rPr>
      <w:color w:val="0000FF"/>
      <w:u w:val="single"/>
    </w:rPr>
  </w:style>
  <w:style w:type="character" w:styleId="7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520</Words>
  <Characters>964</Characters>
  <Lines>0</Lines>
  <Paragraphs>0</Paragraphs>
  <TotalTime>114</TotalTime>
  <ScaleCrop>false</ScaleCrop>
  <LinksUpToDate>false</LinksUpToDate>
  <CharactersWithSpaces>992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2025-04-24T09:05:00Z</dcterms:created>
  <dc:creator>DELL</dc:creator>
  <cp:lastModifiedBy>DELL</cp:lastModifiedBy>
  <dcterms:modified xsi:type="dcterms:W3CDTF">2025-04-27T07:29:52Z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AB50CC6022444648A67DD51E2B25E034_11</vt:lpwstr>
  </property>
  <property fmtid="{D5CDD505-2E9C-101B-9397-08002B2CF9AE}" pid="4" name="KSOTemplateDocerSaveRecord">
    <vt:lpwstr>eyJoZGlkIjoiODM2NGE0YjQyMzNmMTAyNDE3YWU2Yzk5MzU0ZjlhYmMifQ==</vt:lpwstr>
  </property>
</Properties>
</file>