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DARKSTAR: A Hypothesis of Black Holes as Cosmic Transformation and Recycling Systems</w:t>
      </w:r>
    </w:p>
    <w:p>
      <w:pPr>
        <w:jc w:val="center"/>
      </w:pPr>
      <w:r>
        <w:rPr>
          <w:b/>
          <w:sz w:val="26"/>
        </w:rPr>
        <w:t>Scott Hunter Hughes “DarkStar Aurora Shockwave”</w:t>
      </w:r>
    </w:p>
    <w:p>
      <w:pPr>
        <w:jc w:val="center"/>
      </w:pPr>
      <w:r>
        <w:t>October 1, 2026</w:t>
      </w:r>
    </w:p>
    <w:p/>
    <w:p>
      <w:pPr>
        <w:pStyle w:val="Heading1"/>
      </w:pPr>
      <w:r>
        <w:t>Mathematical Model: Input–Output Accounting and Cosmological Constraints</w:t>
      </w:r>
    </w:p>
    <w:p>
      <w:pPr>
        <w:spacing w:after="160"/>
      </w:pPr>
      <w:r>
        <w:t>This section advances DarkStar from a conceptual recycling picture to a quantitative research program. The central objective is not to assume that black holes recycle matter through an unseen interior, but to define the quantities that would have to be measured or modeled if that hypothesis were to be tested.</w:t>
      </w:r>
    </w:p>
    <w:p>
      <w:pPr>
        <w:spacing w:after="160"/>
      </w:pPr>
      <w:r>
        <w:t>The working scientific question is: Can black-hole systems be quantitatively modeled as transformation nodes within a larger cosmic mass-energy recycling network, and can that model produce observational signatures that distinguish it from established accretion, jet, stellar-evolution, and cosmological models?</w:t>
      </w:r>
    </w:p>
    <w:p>
      <w:pPr>
        <w:pStyle w:val="Heading1"/>
      </w:pPr>
      <w:r>
        <w:t>1. Black-Hole Input–Output Ledger</w:t>
      </w:r>
    </w:p>
    <w:p>
      <w:pPr>
        <w:spacing w:after="160"/>
      </w:pPr>
      <w:r>
        <w:t>For a black-hole system over an interval Δt, define an energy ledger</w:t>
      </w:r>
    </w:p>
    <w:p>
      <w:pPr>
        <w:spacing w:after="160"/>
        <w:jc w:val="center"/>
      </w:pPr>
      <w:r>
        <w:rPr>
          <w:i/>
        </w:rPr>
        <w:t>E_in = ΔM_BH c² + E_rad + E_jet + E_wind + E_rec + E_other.</w:t>
      </w:r>
    </w:p>
    <w:p>
      <w:pPr>
        <w:spacing w:after="160"/>
      </w:pPr>
      <w:r>
        <w:t>Here ΔM_BH c² represents the increase in black-hole mass-energy inferred from the system; E_rad is radiative output; E_jet is energy carried by relativistic jets; E_wind is energy carried by winds or outflows; and E_rec is reserved for any empirically identifiable component that DarkStar would interpret as recycled or transformed material. E_other represents terms required by the chosen system boundary.</w:t>
      </w:r>
    </w:p>
    <w:p>
      <w:pPr>
        <w:spacing w:after="160"/>
      </w:pPr>
      <w:r>
        <w:t>This equation is bookkeeping, not a proof of DarkStar. Its purpose is to prevent the hypothesis from using the word “recycling” without defining where energy, momentum, and mass go.</w:t>
      </w:r>
    </w:p>
    <w:p>
      <w:pPr>
        <w:pStyle w:val="Heading1"/>
      </w:pPr>
      <w:r>
        <w:t>2. Mass and Energy Accounting</w:t>
      </w:r>
    </w:p>
    <w:p>
      <w:pPr>
        <w:spacing w:after="160"/>
      </w:pPr>
      <w:r>
        <w:t>For a chosen control volume surrounding a black-hole environment, the corresponding mass-energy balance can be expressed schematically as</w:t>
      </w:r>
    </w:p>
    <w:p>
      <w:pPr>
        <w:spacing w:after="160"/>
        <w:jc w:val="center"/>
      </w:pPr>
      <w:r>
        <w:rPr>
          <w:i/>
        </w:rPr>
        <w:t>ΔM_control c² = E_in − E_out + W_boundary + Q_boundary,</w:t>
      </w:r>
    </w:p>
    <w:p>
      <w:pPr>
        <w:spacing w:after="160"/>
      </w:pPr>
      <w:r>
        <w:t>where E_in and E_out are the relevant energy fluxes and the boundary terms represent work or energy transfer across the chosen control surface. A complete relativistic treatment should use the stress-energy tensor and covariant conservation rather than treating mass as a separately conserved Newtonian substance.</w:t>
      </w:r>
    </w:p>
    <w:p>
      <w:pPr>
        <w:spacing w:after="160"/>
      </w:pPr>
      <w:r>
        <w:t>The DarkStar hypothesis therefore has a strict requirement: any proposed transformation must preserve the applicable conservation laws. A claim that matter is “cleansed” or converted to a more fundamental form must be translated into measurable particle species, energy spectra, momentum fluxes, or other observables.</w:t>
      </w:r>
    </w:p>
    <w:p>
      <w:pPr>
        <w:pStyle w:val="Heading1"/>
      </w:pPr>
      <w:r>
        <w:t>3. Stress-Energy Formulation</w:t>
      </w:r>
    </w:p>
    <w:p>
      <w:pPr>
        <w:spacing w:after="160"/>
      </w:pPr>
      <w:r>
        <w:t>General relativity couples spacetime geometry to stress-energy. In compact notation,</w:t>
      </w:r>
    </w:p>
    <w:p>
      <w:pPr>
        <w:spacing w:after="160"/>
        <w:jc w:val="center"/>
      </w:pPr>
      <w:r>
        <w:rPr>
          <w:i/>
        </w:rPr>
        <w:t>G_{μν} + Λg_{μν} = (8πG/c⁴) T_{μν}.</w:t>
      </w:r>
    </w:p>
    <w:p>
      <w:pPr>
        <w:spacing w:after="160"/>
      </w:pPr>
      <w:r>
        <w:t>For radiation treated as an approximately isotropic fluid, the stress-energy tensor can be represented by an energy density ρc² and pressure p with equation of state p = ρc²/3. This matters because radiation does gravitate, but its pressure and redshifting must be included in a cosmological calculation. Radiation therefore cannot be treated as a static gravitational “glue” field without specifying its dynamics.</w:t>
      </w:r>
    </w:p>
    <w:p>
      <w:pPr>
        <w:spacing w:after="160"/>
      </w:pPr>
      <w:r>
        <w:t>For a DarkStar extension, the relevant question becomes whether a population of black-hole systems plus their surrounding radiation and outflow fields can be represented by an effective cosmic stress-energy budget that differs measurably from standard cosmology.</w:t>
      </w:r>
    </w:p>
    <w:p>
      <w:pPr>
        <w:pStyle w:val="Heading1"/>
      </w:pPr>
      <w:r>
        <w:t>4. Compactness Benchmark</w:t>
      </w:r>
    </w:p>
    <w:p>
      <w:pPr>
        <w:spacing w:after="160"/>
      </w:pPr>
      <w:r>
        <w:t>For a spherical region of radius R, the Schwarzschild relation gives the compactness benchmark</w:t>
      </w:r>
    </w:p>
    <w:p>
      <w:pPr>
        <w:spacing w:after="160"/>
        <w:jc w:val="center"/>
      </w:pPr>
      <w:r>
        <w:rPr>
          <w:i/>
        </w:rPr>
        <w:t>R_s = 2GE/c⁴.</w:t>
      </w:r>
    </w:p>
    <w:p>
      <w:pPr>
        <w:spacing w:after="160"/>
      </w:pPr>
      <w:r>
        <w:t>Equivalently, the energy associated with a Schwarzschild radius R is</w:t>
      </w:r>
    </w:p>
    <w:p>
      <w:pPr>
        <w:spacing w:after="160"/>
        <w:jc w:val="center"/>
      </w:pPr>
      <w:r>
        <w:rPr>
          <w:i/>
        </w:rPr>
        <w:t>E_threshold(R) = Rc⁴/(2G).</w:t>
      </w:r>
    </w:p>
    <w:p>
      <w:pPr>
        <w:spacing w:after="160"/>
      </w:pPr>
      <w:r>
        <w:t>If this energy is divided by the Euclidean volume 4πR³/3, the corresponding benchmark energy density is</w:t>
      </w:r>
    </w:p>
    <w:p>
      <w:pPr>
        <w:spacing w:after="160"/>
        <w:jc w:val="center"/>
      </w:pPr>
      <w:r>
        <w:rPr>
          <w:i/>
        </w:rPr>
        <w:t>u_threshold(R) = 3c⁴/(8πGR²).</w:t>
      </w:r>
    </w:p>
    <w:p>
      <w:pPr>
        <w:spacing w:after="160"/>
      </w:pPr>
      <w:r>
        <w:t>This calculation is mathematically useful but is not, by itself, a theorem that a homogeneous universe must collapse. Cosmological collapse or expansion requires the Friedmann equations, spatial geometry, pressure, and the full stress-energy content.</w:t>
      </w:r>
    </w:p>
    <w:p>
      <w:pPr>
        <w:pStyle w:val="Heading1"/>
      </w:pPr>
      <w:r>
        <w:t>5. Radiation Scaling and the Cosmic-Rebirth Problem</w:t>
      </w:r>
    </w:p>
    <w:p>
      <w:pPr>
        <w:spacing w:after="160"/>
      </w:pPr>
      <w:r>
        <w:t>In standard FLRW cosmology, a radiation component scales approximately as ρ_r ∝ a⁻⁴, matter as ρ_m ∝ a⁻³, while a cosmological-constant component is approximately constant. Thus an expanding universe does not automatically accumulate radiation into a future collapse simply because radiation remains present.</w:t>
      </w:r>
    </w:p>
    <w:p>
      <w:pPr>
        <w:spacing w:after="160"/>
      </w:pPr>
      <w:r>
        <w:t>For DarkStar’s proposed cosmic rebirth cycle to become a physical model, it must introduce a specific mechanism that changes the standard late-time dynamics. Candidate mechanisms are not established by the hypothesis and would have to be selected and mathematically defined—for example, a modified gravitational sector, an additional field, a nonstandard effective stress-energy component, or a bounce/recollapse mechanism.</w:t>
      </w:r>
    </w:p>
    <w:p>
      <w:pPr>
        <w:spacing w:after="160"/>
      </w:pPr>
      <w:r>
        <w:t>The decisive calculation is therefore not “Does radiation have gravity?”—it does—but “Under what equations of motion can the proposed radiation/mass network reverse its expansion and enter a new hot, dense phase?”</w:t>
      </w:r>
    </w:p>
    <w:p>
      <w:pPr>
        <w:pStyle w:val="Heading1"/>
      </w:pPr>
      <w:r>
        <w:t>6. Entropy and the Meaning of Recycling</w:t>
      </w:r>
    </w:p>
    <w:p>
      <w:pPr>
        <w:spacing w:after="160"/>
      </w:pPr>
      <w:r>
        <w:t>DarkStar uses “recycling” to describe transformation and redistribution rather than destruction and recreation from nothing. Thermodynamically, a viable model must respect the second law. Local organization can occur while total entropy increases, so high entropy does not by itself create new solar systems.</w:t>
      </w:r>
    </w:p>
    <w:p>
      <w:pPr>
        <w:spacing w:after="160"/>
      </w:pPr>
      <w:r>
        <w:t>A quantitative version of the hypothesis should therefore track entropy production and available free energy. For a black hole, the Bekenstein-Hawking entropy is proportional to horizon area, S_BH = k_B c³ A/(4Gℏ), so any model that treats a black hole as a low-entropy cleaning stage must explain how the generalized entropy budget is handled.</w:t>
      </w:r>
    </w:p>
    <w:p>
      <w:pPr>
        <w:spacing w:after="160"/>
      </w:pPr>
      <w:r>
        <w:t>The scientifically useful DarkStar claim is narrower: black-hole environments may transform, thermalize, accelerate, and redistribute matter and energy in ways that contribute to the long-term cycling of cosmic material. Whether this constitutes a full closed cosmic life-cycle remains an open hypothesis.</w:t>
      </w:r>
    </w:p>
    <w:p>
      <w:pPr>
        <w:pStyle w:val="Heading1"/>
      </w:pPr>
      <w:r>
        <w:t>7. Forked River as a Network Model</w:t>
      </w:r>
    </w:p>
    <w:p>
      <w:pPr>
        <w:spacing w:after="160"/>
      </w:pPr>
      <w:r>
        <w:t>The Forked River metaphor can be translated into a network representation. Matter and energy flow from stars and interstellar reservoirs into compact objects; some energy is radiated, some is carried by winds and jets, some increases black-hole mass-energy, and some may enter other channels. At larger scales, outflows can interact with surrounding gas and influence later star formation.</w:t>
      </w:r>
    </w:p>
    <w:p>
      <w:pPr>
        <w:spacing w:after="160"/>
      </w:pPr>
      <w:r>
        <w:t>The river is therefore not required to be a literal one-dimensional stream. It can be modeled as a branching flow network whose nodes are stars, black holes, gas reservoirs, galaxies, and the intergalactic medium. A scientific DarkStar model would assign measurable fluxes to each branch.</w:t>
      </w:r>
    </w:p>
    <w:p>
      <w:pPr>
        <w:pStyle w:val="Heading1"/>
      </w:pPr>
      <w:r>
        <w:t>8. Observational Discriminants</w:t>
      </w:r>
    </w:p>
    <w:p>
      <w:pPr>
        <w:spacing w:after="160"/>
      </w:pPr>
      <w:r>
        <w:t>A viable DarkStar model must make predictions that differ from established astrophysical explanations. Potential tests include: (1) unusual particle or elemental abundance patterns in black-hole-associated outflows; (2) energy or momentum budgets that cannot be reconciled with accretion-disk, magnetic, jet, wind, and stellar sources; (3) population-level correlations between black-hole growth and chemically distinctive outflow material; (4) a cosmological signature requiring physics beyond standard FLRW evolution; and (5) a reproducible relation between inferred input mass-energy and transformed output channels.</w:t>
      </w:r>
    </w:p>
    <w:p>
      <w:pPr>
        <w:spacing w:after="160"/>
      </w:pPr>
      <w:r>
        <w:t>A result that is already explained by standard accretion physics would support the existence of the observed process but would not uniquely support DarkStar. The hypothesis becomes scientifically stronger only where it predicts a distinctive residual or correlation.</w:t>
      </w:r>
    </w:p>
    <w:p>
      <w:pPr>
        <w:pStyle w:val="Heading1"/>
      </w:pPr>
      <w:r>
        <w:t>9. Falsification Criteria</w:t>
      </w:r>
    </w:p>
    <w:p>
      <w:pPr>
        <w:spacing w:after="160"/>
      </w:pPr>
      <w:r>
        <w:t>DarkStar should be considered weakened or falsified in a specific domain if a proposed quantitative prediction repeatedly fails against observations after uncertainties, selection effects, and standard-model alternatives are properly accounted for.</w:t>
      </w:r>
    </w:p>
    <w:p>
      <w:pPr>
        <w:spacing w:after="160"/>
      </w:pPr>
      <w:r>
        <w:t>Examples include: failure to close the energy/momentum ledger; absence of the predicted transformed-material signature; demonstration that the proposed signal is fully accounted for by established jet, wind, disk, or stellar processes; or inability to construct a mathematically consistent cosmological mechanism for the proposed rebirth cycle.</w:t>
      </w:r>
    </w:p>
    <w:p>
      <w:pPr>
        <w:pStyle w:val="Heading1"/>
      </w:pPr>
      <w:r>
        <w:t>10. Research Program</w:t>
      </w:r>
    </w:p>
    <w:p>
      <w:pPr>
        <w:spacing w:after="160"/>
      </w:pPr>
      <w:r>
        <w:t>Phase I: define the control volume and all measurable input/output channels for representative black-hole systems.</w:t>
      </w:r>
    </w:p>
    <w:p>
      <w:pPr>
        <w:spacing w:after="160"/>
      </w:pPr>
      <w:r>
        <w:t>Phase II: build a relativistic radiation-plus-matter transport model and compare predicted spectra, composition, and momentum flux with observations.</w:t>
      </w:r>
    </w:p>
    <w:p>
      <w:pPr>
        <w:spacing w:after="160"/>
      </w:pPr>
      <w:r>
        <w:t>Phase III: model the cumulative effect of black-hole outflows on galactic and intergalactic gas, including star-formation feedback and chemical enrichment.</w:t>
      </w:r>
    </w:p>
    <w:p>
      <w:pPr>
        <w:spacing w:after="160"/>
      </w:pPr>
      <w:r>
        <w:t>Phase IV: formulate an explicit cosmological DarkStar modification—if one is still required—and test it against the Friedmann equations, cosmic expansion history, cosmic microwave background constraints, structure growth, and entropy evolution.</w:t>
      </w:r>
    </w:p>
    <w:p>
      <w:pPr>
        <w:spacing w:after="160"/>
      </w:pPr>
      <w:r>
        <w:t>Phase V: publish the equations, parameter definitions, code, datasets, uncertainty analysis, and null results so that independent researchers can reproduce or challenge the model.</w:t>
      </w:r>
    </w:p>
    <w:p>
      <w:pPr>
        <w:pStyle w:val="Heading1"/>
      </w:pPr>
      <w:r>
        <w:t>11. Scientific Status of the DarkStar Hypothesis</w:t>
      </w:r>
    </w:p>
    <w:p>
      <w:pPr>
        <w:spacing w:after="160"/>
      </w:pPr>
      <w:r>
        <w:t>At this stage, the strongest defensible statement is that DarkStar is a speculative, testable framework inspired by real astrophysical processes. Radiation carries energy and momentum and contributes to gravity; black-hole environments produce radiation, winds, and jets; matter and energy are transformed and redistributed throughout cosmic systems. The additional claims—that black holes are universal recycling nodes, that matter crosses an event horizon and emerges through an “other side,” and that a diffuse cosmic radiation field can collapse into a new Big-Bang-like phase—remain hypotheses requiring new mathematics and observational evidence.</w:t>
      </w:r>
    </w:p>
    <w:p>
      <w:pPr>
        <w:spacing w:after="160"/>
      </w:pPr>
      <w:r>
        <w:t>The purpose of this mathematical model is therefore constructive: it identifies exactly what must be specified for DarkStar to move from metaphor and conceptual analogy toward a physical theory.</w:t>
      </w:r>
    </w:p>
    <w:p>
      <w:pPr>
        <w:pStyle w:val="Heading1"/>
      </w:pPr>
      <w:r>
        <w:t>Author's Statement</w:t>
      </w:r>
    </w:p>
    <w:p>
      <w:pPr>
        <w:spacing w:after="160"/>
      </w:pPr>
      <w:r>
        <w:t>I, Scott Hunter Hughes “DarkStar Aurora Shockwave,” present DarkStar as a hypothesis for scientific examination. The name “DarkStar” refers to the proposed scientific concept; it is not a claim that the concept has already been established by the scientific community. The 2023 material supplied by the author documents an earlier public formulation of the Forked River concept and related ideas. This manuscript preserves that provenance while subjecting the hypothesis to explicit physical constraints and falsifiable tests.</w:t>
      </w:r>
    </w:p>
    <w:p>
      <w:pPr>
        <w:spacing w:after="160"/>
      </w:pPr>
      <w:r>
        <w:t>Author signature: Scott Hunter Hughes “DarkStar Aurora Shockwave”</w:t>
      </w:r>
    </w:p>
    <w:p>
      <w:r>
        <w:br w:type="page"/>
      </w:r>
    </w:p>
    <w:p>
      <w:pPr>
        <w:pStyle w:val="Heading1"/>
      </w:pPr>
      <w:r>
        <w:t>Selected Reference Framework</w:t>
      </w:r>
    </w:p>
    <w:p>
      <w:pPr>
        <w:pStyle w:val="ListBullet"/>
      </w:pPr>
      <w:r>
        <w:t>Einstein Online — Einstein’s equation and the role of stress-energy in spacetime curvature.</w:t>
      </w:r>
    </w:p>
    <w:p>
      <w:pPr>
        <w:pStyle w:val="ListBullet"/>
      </w:pPr>
      <w:r>
        <w:t>NASA Science — Black-hole accretion disks, jets, winds, and the event-horizon boundary.</w:t>
      </w:r>
    </w:p>
    <w:p>
      <w:pPr>
        <w:pStyle w:val="ListBullet"/>
      </w:pPr>
      <w:r>
        <w:t>NASA/COBE and ESA/Planck — cosmic microwave background observations and standard cosmological constraints.</w:t>
      </w:r>
    </w:p>
    <w:p>
      <w:pPr>
        <w:pStyle w:val="ListBullet"/>
      </w:pPr>
      <w:r>
        <w:t>Standard FLRW/Friedmann cosmology — radiation, matter, curvature, and cosmological-constant evolution.</w:t>
      </w:r>
    </w:p>
    <w:p>
      <w:pPr>
        <w:pStyle w:val="ListBullet"/>
      </w:pPr>
      <w:r>
        <w:t>Bekenstein-Hawking black-hole thermodynamics — horizon entropy proportional to area.</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