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DARKSTAR — COMPLETE MATHEMATICAL HISTORY</w:t>
        <w:br/>
        <w:t>AND RADIATION PROPULSION DEVELOPMENT</w:t>
      </w:r>
    </w:p>
    <w:p>
      <w:pPr>
        <w:jc w:val="center"/>
      </w:pPr>
      <w:r>
        <w:rPr>
          <w:b/>
        </w:rPr>
        <w:t>Chronological research record: 2023 → October 1, 2026</w:t>
        <w:br/>
      </w:r>
      <w:r>
        <w:t>Author: Scott Hunter Hughes “DarkStar Aurora Shockwave”</w:t>
        <w:br/>
      </w:r>
      <w:r>
        <w:t>© 2026 Scott Hunter Hughes. All rights reserved.</w:t>
      </w:r>
    </w:p>
    <w:p>
      <w:r>
        <w:t>Purpose. This document records the mathematical and modeling progression of the DarkStar research from the author's 2023 provenance material through the current 2026 stopping point, then records the separate radiation-propulsion development. It distinguishes established physics, mathematical consequences, model bookkeeping, hypotheses, and genuinely new research directions. It does not present speculative claims as established physical facts.</w:t>
      </w:r>
    </w:p>
    <w:p>
      <w:pPr>
        <w:pStyle w:val="Heading1"/>
      </w:pPr>
      <w:r>
        <w:t>1. Classification Key</w:t>
      </w:r>
    </w:p>
    <w:p>
      <w:pPr>
        <w:pStyle w:val="ListBullet"/>
      </w:pPr>
      <w:r>
        <w:t>ESTABLISHED — standard physics or mathematics already known independently of DarkStar.</w:t>
      </w:r>
    </w:p>
    <w:p>
      <w:pPr>
        <w:pStyle w:val="ListBullet"/>
      </w:pPr>
      <w:r>
        <w:t>DERIVED/RECAST — a correct mathematical consequence or reformulation used in the DarkStar research; not necessarily novel to physics.</w:t>
      </w:r>
    </w:p>
    <w:p>
      <w:pPr>
        <w:pStyle w:val="ListBullet"/>
      </w:pPr>
      <w:r>
        <w:t>DARKSTAR MODEL — an original modeling choice, parameterization, bookkeeping framework, or test structure.</w:t>
      </w:r>
    </w:p>
    <w:p>
      <w:pPr>
        <w:pStyle w:val="ListBullet"/>
      </w:pPr>
      <w:r>
        <w:t>HYPOTHESIS — a proposed physical mechanism not established by current evidence.</w:t>
      </w:r>
    </w:p>
    <w:p>
      <w:pPr>
        <w:pStyle w:val="ListBullet"/>
      </w:pPr>
      <w:r>
        <w:t>NEW DISCOVERY FRONTIER — an unresolved mathematical/physical problem identified for future derivation and testing.</w:t>
      </w:r>
    </w:p>
    <w:p>
      <w:pPr>
        <w:pStyle w:val="ListBullet"/>
      </w:pPr>
      <w:r>
        <w:t>AI-ASSISTED — equations, calculations, organization, drafting, checking, or visualization assistance produced with AI; this does not by itself determine scientific authorship.</w:t>
      </w:r>
    </w:p>
    <w:p>
      <w:pPr>
        <w:pStyle w:val="Heading1"/>
      </w:pPr>
      <w:r>
        <w:t>2. Chronological Mathematical Development</w:t>
      </w:r>
    </w:p>
    <w:p>
      <w:pPr>
        <w:pStyle w:val="Heading2"/>
      </w:pPr>
      <w:r>
        <w:t>2023 — Foundational Forked River concept</w:t>
      </w:r>
    </w:p>
    <w:p>
      <w:r>
        <w:t>The supplied 2023 provenance material documents the early Forked River idea: cosmic matter/energy behaves as a continuing flow that can concentrate, divide, transform, disperse, and later participate in new structures.</w:t>
      </w:r>
    </w:p>
    <w:p>
      <w:r>
        <w:t>STATUS: ORIGINAL CONCEPT / HYPOTHESIS. The river is a conceptual analogy at this stage, not a physical equation.</w:t>
      </w:r>
    </w:p>
    <w:p>
      <w:r>
        <w:t>Scientific transition: the later program asks whether measurable mass, energy, momentum, composition, radiation, and entropy fluxes can replace the metaphor with a quantitative network model.</w:t>
      </w:r>
    </w:p>
    <w:p>
      <w:pPr>
        <w:pStyle w:val="Heading2"/>
      </w:pPr>
      <w:r>
        <w:t>2023 → early formalization — Mass–energy intuition</w:t>
      </w:r>
    </w:p>
    <w:p>
      <w:r>
        <w:t>The research moved from the broad intuition that physical energy matters gravitationally toward the precise statement that gravity couples to stress-energy, not rest mass alone.</w:t>
      </w:r>
    </w:p>
    <w:p>
      <w:r>
        <w:t>ESTABLISHED FOUNDATION: E = mc² for rest energy; E² = m²c⁴ + p²c²; photons have m=0 and E=pc; general relativity uses T_{μν} as the source of curvature.</w:t>
      </w:r>
    </w:p>
    <w:p>
      <w:r>
        <w:t>This refinement preserved the underlying intuition while correcting the statement that everything has rest mass.</w:t>
      </w:r>
    </w:p>
    <w:p>
      <w:pPr>
        <w:pStyle w:val="Heading2"/>
      </w:pPr>
      <w:r>
        <w:t>v3 — Revised Mathematical Edition</w:t>
      </w:r>
    </w:p>
    <w:p>
      <w:r>
        <w:t>The research began organizing the hypothesis as a quantitative program rather than a purely conceptual proposal.</w:t>
      </w:r>
    </w:p>
    <w:p>
      <w:r>
        <w:t>MODEL DEVELOPMENT: input/output accounting, compactness reasoning, cosmological constraints, falsifiability, and explicit separation of established physics from hypothesis.</w:t>
      </w:r>
    </w:p>
    <w:p>
      <w:r>
        <w:t>Key direction: black holes as transformation nodes in a larger cosmic mass-energy network.</w:t>
      </w:r>
    </w:p>
    <w:p>
      <w:pPr>
        <w:pStyle w:val="Heading2"/>
      </w:pPr>
      <w:r>
        <w:t>v5 — Mathematical Model: Input–Output Accounting and Cosmological Constraints</w:t>
      </w:r>
    </w:p>
    <w:p>
      <w:r>
        <w:t>Energy ledger introduced: E_in = ΔM_BH c² + E_rad + E_jet + E_wind + E_rec + E_other.</w:t>
      </w:r>
    </w:p>
    <w:p>
      <w:r>
        <w:t>DARKSTAR MODEL: the ledger forces every proposed recycling channel to appear explicitly instead of being treated as implicit extra energy.</w:t>
      </w:r>
    </w:p>
    <w:p>
      <w:r>
        <w:t>Compactness derivation: R_s = 2GE/c⁴, followed by E_threshold(R) = Rc⁴/(2G), and for uniform spherical energy density u_threshold(R) = 3c⁴/(8πGR²).</w:t>
      </w:r>
    </w:p>
    <w:p>
      <w:r>
        <w:t>Important status: these are mathematical consequences of established relations, not claims that DarkStar discovered a new law.</w:t>
      </w:r>
    </w:p>
    <w:p>
      <w:pPr>
        <w:pStyle w:val="Heading2"/>
      </w:pPr>
      <w:r>
        <w:t>v6 — Stress Test</w:t>
      </w:r>
    </w:p>
    <w:p>
      <w:r>
        <w:t>The hypothesis was deliberately tested against general relativity, black-hole astrophysics, thermodynamics, cosmology, conservation laws, and known jet/wind mechanisms.</w:t>
      </w:r>
    </w:p>
    <w:p>
      <w:r>
        <w:t>Result: radiation gravitation and black-hole transformation are established; an interior-to-exterior recycling channel and radiation-driven cosmic rebirth remain unestablished.</w:t>
      </w:r>
    </w:p>
    <w:p>
      <w:r>
        <w:t>The stress test narrowed the hypothesis and established a falsification standard.</w:t>
      </w:r>
    </w:p>
    <w:p>
      <w:pPr>
        <w:pStyle w:val="Heading2"/>
      </w:pPr>
      <w:r>
        <w:t>v7 — Dynamical Model</w:t>
      </w:r>
    </w:p>
    <w:p>
      <w:r>
        <w:t>State variables were formalized: M_BH(t), M_g(t), E_rad(t), E_out(t), S(t), a(t), and f_rec(t).</w:t>
      </w:r>
    </w:p>
    <w:p>
      <w:r>
        <w:t>Core equation: dM_BH/dt = (1−ε)·Mdot_acc − Mdot_DH, with Mdot_DH=0 in the null model.</w:t>
      </w:r>
    </w:p>
    <w:p>
      <w:r>
        <w:t>Energy dynamics: P_acc=Mdot_acc c²; P_out=P_rad+P_jet+P_wind+P_other; d(M_BH c²+E_env)/dt=P_in−P_out+P_ext.</w:t>
      </w:r>
    </w:p>
    <w:p>
      <w:r>
        <w:t>Recycling test: Mdot_rec=f_rec Mdot_in. H0 sets f_rec=0; H1 requires a specified nonzero functional dependence and an unexplained residual after established processes are modeled.</w:t>
      </w:r>
    </w:p>
    <w:p>
      <w:r>
        <w:t>Entropy: dS_gen/dt ≥ 0 and S_BH=k_B c³A/(4Għ).</w:t>
      </w:r>
    </w:p>
    <w:p>
      <w:pPr>
        <w:pStyle w:val="Heading2"/>
      </w:pPr>
      <w:r>
        <w:t>v7 — Interior/exit mathematical doorway</w:t>
      </w:r>
    </w:p>
    <w:p>
      <w:r>
        <w:t>Two regions were introduced conceptually: exterior E and proposed daughter/exit region D, joined by transition surface Σ.</w:t>
      </w:r>
    </w:p>
    <w:p>
      <w:r>
        <w:t>Einstein equations were written separately: G_{μν}(E)=(8πG/c⁴)T_{μν}(E) and G_{μν}(D)=(8πG/c⁴)T_{μν}(D).</w:t>
      </w:r>
    </w:p>
    <w:p>
      <w:r>
        <w:t>NEW DISCOVERY FRONTIER: a complete metric, matching conditions, causal character of Σ, conservation constraints, and physical mechanism are still required. This is an unresolved research program, not an established equation for an exit channel.</w:t>
      </w:r>
    </w:p>
    <w:p>
      <w:pPr>
        <w:pStyle w:val="Heading2"/>
      </w:pPr>
      <w:r>
        <w:t>v8 — Toy Dynamical Test</w:t>
      </w:r>
    </w:p>
    <w:p>
      <w:r>
        <w:t>A deliberately minimal bookkeeping model used dM_BH/dt=(1−ε−f_rec)·Mdot_acc.</w:t>
      </w:r>
    </w:p>
    <w:p>
      <w:r>
        <w:t>With normalized M0=1, Mdot_acc=0.1, ε=0.1, and f_rec=0,0.1,0.3,0.5, final masses were 1.900, 1.800, 1.600, and 1.400 respectively.</w:t>
      </w:r>
    </w:p>
    <w:p>
      <w:r>
        <w:t>RESULT: bookkeeping behaves as conservation accounting predicts. It does not demonstrate that a physical recycling channel exists.</w:t>
      </w:r>
    </w:p>
    <w:p>
      <w:pPr>
        <w:pStyle w:val="Heading2"/>
      </w:pPr>
      <w:r>
        <w:t>v9 — Cosmic Bounce Test</w:t>
      </w:r>
    </w:p>
    <w:p>
      <w:r>
        <w:t>The research tested the cosmic-rebirth idea against Friedmann dynamics: H²=(8πG/3)ρ−kc²/a²+Λc²/3 and ä/a=−(4πG/3)(ρ+3p/c²)+Λc²/3.</w:t>
      </w:r>
    </w:p>
    <w:p>
      <w:r>
        <w:t>Radiation scaling ρ_r∝a⁻⁴ and matter scaling ρ_m∝a⁻³ were used to show that radiation alone does not automatically generate a late-time recollapse/bounce in standard Λ-dominated cosmology.</w:t>
      </w:r>
    </w:p>
    <w:p>
      <w:r>
        <w:t>A valid bounce requires H=0 followed by H&gt;0 and ä&gt;0 at the bounce, plus entropy and observational consistency.</w:t>
      </w:r>
    </w:p>
    <w:p>
      <w:pPr>
        <w:pStyle w:val="Heading2"/>
      </w:pPr>
      <w:r>
        <w:t>2026 — Fresh-Eyes Audit</w:t>
      </w:r>
    </w:p>
    <w:p>
      <w:r>
        <w:t>A separate critical pass checked compactness, radiation gravitation, jets, entropy, conservation, cosmology, and the status of the hypotheses.</w:t>
      </w:r>
    </w:p>
    <w:p>
      <w:r>
        <w:t>The audit explicitly asks: Has this been disproven? It records where calculations survive, where claims fail under standard physics, and where new mathematics is still required.</w:t>
      </w:r>
    </w:p>
    <w:p>
      <w:pPr>
        <w:pStyle w:val="Heading2"/>
      </w:pPr>
      <w:r>
        <w:t>October 2026 — Radiation Propulsion research frontier</w:t>
      </w:r>
    </w:p>
    <w:p>
      <w:r>
        <w:t>The DarkStar work was extended into a separate propulsion direction: radiation as an energy and momentum source for spacecraft propulsion, followed by the speculative question of whether controlled radiation stress-energy could someday participate in spacetime engineering.</w:t>
      </w:r>
    </w:p>
    <w:p>
      <w:r>
        <w:t>Established radiation propulsion mathematics was separated from the speculative warp/hyper-drive hypothesis.</w:t>
      </w:r>
    </w:p>
    <w:p>
      <w:pPr>
        <w:pStyle w:val="Heading1"/>
      </w:pPr>
      <w:r>
        <w:t>3. Consolidated Mathematics Inventory</w:t>
      </w:r>
    </w:p>
    <w:tbl>
      <w:tblPr>
        <w:tblW w:type="auto" w:w="0"/>
        <w:jc w:val="center"/>
        <w:tblLook w:firstColumn="1" w:firstRow="1" w:lastColumn="0" w:lastRow="0" w:noHBand="0" w:noVBand="1" w:val="04A0"/>
      </w:tblPr>
      <w:tblGrid>
        <w:gridCol w:w="2880"/>
        <w:gridCol w:w="2880"/>
        <w:gridCol w:w="2880"/>
      </w:tblGrid>
      <w:tr>
        <w:tc>
          <w:tcPr>
            <w:tcW w:type="dxa" w:w="2880"/>
          </w:tcPr>
          <w:p>
            <w:r>
              <w:t>Mathematical element</w:t>
            </w:r>
          </w:p>
        </w:tc>
        <w:tc>
          <w:tcPr>
            <w:tcW w:type="dxa" w:w="2880"/>
          </w:tcPr>
          <w:p>
            <w:r>
              <w:t>Expression</w:t>
            </w:r>
          </w:p>
        </w:tc>
        <w:tc>
          <w:tcPr>
            <w:tcW w:type="dxa" w:w="2880"/>
          </w:tcPr>
          <w:p>
            <w:r>
              <w:t>Status</w:t>
            </w:r>
          </w:p>
        </w:tc>
      </w:tr>
      <w:tr>
        <w:tc>
          <w:tcPr>
            <w:tcW w:type="dxa" w:w="2880"/>
            <w:vAlign w:val="center"/>
          </w:tcPr>
          <w:p>
            <w:r>
              <w:t>Photon / relativistic foundation</w:t>
            </w:r>
          </w:p>
        </w:tc>
        <w:tc>
          <w:tcPr>
            <w:tcW w:type="dxa" w:w="2880"/>
            <w:vAlign w:val="center"/>
          </w:tcPr>
          <w:p>
            <w:r>
              <w:t>Eγ = pc;  E² = m²c⁴ + p²c²</w:t>
            </w:r>
          </w:p>
        </w:tc>
        <w:tc>
          <w:tcPr>
            <w:tcW w:type="dxa" w:w="2880"/>
            <w:vAlign w:val="center"/>
          </w:tcPr>
          <w:p>
            <w:r>
              <w:t>Established</w:t>
            </w:r>
          </w:p>
        </w:tc>
      </w:tr>
      <w:tr>
        <w:tc>
          <w:tcPr>
            <w:tcW w:type="dxa" w:w="2880"/>
            <w:vAlign w:val="center"/>
          </w:tcPr>
          <w:p>
            <w:r>
              <w:t>Rest-energy relation</w:t>
            </w:r>
          </w:p>
        </w:tc>
        <w:tc>
          <w:tcPr>
            <w:tcW w:type="dxa" w:w="2880"/>
            <w:vAlign w:val="center"/>
          </w:tcPr>
          <w:p>
            <w:r>
              <w:t>E = mc²</w:t>
            </w:r>
          </w:p>
        </w:tc>
        <w:tc>
          <w:tcPr>
            <w:tcW w:type="dxa" w:w="2880"/>
            <w:vAlign w:val="center"/>
          </w:tcPr>
          <w:p>
            <w:r>
              <w:t>Established</w:t>
            </w:r>
          </w:p>
        </w:tc>
      </w:tr>
      <w:tr>
        <w:tc>
          <w:tcPr>
            <w:tcW w:type="dxa" w:w="2880"/>
            <w:vAlign w:val="center"/>
          </w:tcPr>
          <w:p>
            <w:r>
              <w:t>Schwarzschild radius</w:t>
            </w:r>
          </w:p>
        </w:tc>
        <w:tc>
          <w:tcPr>
            <w:tcW w:type="dxa" w:w="2880"/>
            <w:vAlign w:val="center"/>
          </w:tcPr>
          <w:p>
            <w:r>
              <w:t>R_s = 2GM/c²</w:t>
            </w:r>
          </w:p>
        </w:tc>
        <w:tc>
          <w:tcPr>
            <w:tcW w:type="dxa" w:w="2880"/>
            <w:vAlign w:val="center"/>
          </w:tcPr>
          <w:p>
            <w:r>
              <w:t>Established</w:t>
            </w:r>
          </w:p>
        </w:tc>
      </w:tr>
      <w:tr>
        <w:tc>
          <w:tcPr>
            <w:tcW w:type="dxa" w:w="2880"/>
            <w:vAlign w:val="center"/>
          </w:tcPr>
          <w:p>
            <w:r>
              <w:t>Energy form of compactness</w:t>
            </w:r>
          </w:p>
        </w:tc>
        <w:tc>
          <w:tcPr>
            <w:tcW w:type="dxa" w:w="2880"/>
            <w:vAlign w:val="center"/>
          </w:tcPr>
          <w:p>
            <w:r>
              <w:t>R_s = 2GE/c⁴</w:t>
            </w:r>
          </w:p>
        </w:tc>
        <w:tc>
          <w:tcPr>
            <w:tcW w:type="dxa" w:w="2880"/>
            <w:vAlign w:val="center"/>
          </w:tcPr>
          <w:p>
            <w:r>
              <w:t>Derived from established equations</w:t>
            </w:r>
          </w:p>
        </w:tc>
      </w:tr>
      <w:tr>
        <w:tc>
          <w:tcPr>
            <w:tcW w:type="dxa" w:w="2880"/>
            <w:vAlign w:val="center"/>
          </w:tcPr>
          <w:p>
            <w:r>
              <w:t>Spherical compactness energy benchmark</w:t>
            </w:r>
          </w:p>
        </w:tc>
        <w:tc>
          <w:tcPr>
            <w:tcW w:type="dxa" w:w="2880"/>
            <w:vAlign w:val="center"/>
          </w:tcPr>
          <w:p>
            <w:r>
              <w:t>E_threshold(R) = Rc⁴/(2G)</w:t>
            </w:r>
          </w:p>
        </w:tc>
        <w:tc>
          <w:tcPr>
            <w:tcW w:type="dxa" w:w="2880"/>
            <w:vAlign w:val="center"/>
          </w:tcPr>
          <w:p>
            <w:r>
              <w:t>Derived benchmark</w:t>
            </w:r>
          </w:p>
        </w:tc>
      </w:tr>
      <w:tr>
        <w:tc>
          <w:tcPr>
            <w:tcW w:type="dxa" w:w="2880"/>
            <w:vAlign w:val="center"/>
          </w:tcPr>
          <w:p>
            <w:r>
              <w:t>Uniform spherical threshold energy density</w:t>
            </w:r>
          </w:p>
        </w:tc>
        <w:tc>
          <w:tcPr>
            <w:tcW w:type="dxa" w:w="2880"/>
            <w:vAlign w:val="center"/>
          </w:tcPr>
          <w:p>
            <w:r>
              <w:t>u_threshold(R) = 3c⁴/(8πGR²)</w:t>
            </w:r>
          </w:p>
        </w:tc>
        <w:tc>
          <w:tcPr>
            <w:tcW w:type="dxa" w:w="2880"/>
            <w:vAlign w:val="center"/>
          </w:tcPr>
          <w:p>
            <w:r>
              <w:t>Derived benchmark</w:t>
            </w:r>
          </w:p>
        </w:tc>
      </w:tr>
      <w:tr>
        <w:tc>
          <w:tcPr>
            <w:tcW w:type="dxa" w:w="2880"/>
            <w:vAlign w:val="center"/>
          </w:tcPr>
          <w:p>
            <w:r>
              <w:t>CMB radiation density</w:t>
            </w:r>
          </w:p>
        </w:tc>
        <w:tc>
          <w:tcPr>
            <w:tcW w:type="dxa" w:w="2880"/>
            <w:vAlign w:val="center"/>
          </w:tcPr>
          <w:p>
            <w:r>
              <w:t>u = aT⁴</w:t>
            </w:r>
          </w:p>
        </w:tc>
        <w:tc>
          <w:tcPr>
            <w:tcW w:type="dxa" w:w="2880"/>
            <w:vAlign w:val="center"/>
          </w:tcPr>
          <w:p>
            <w:r>
              <w:t>Established</w:t>
            </w:r>
          </w:p>
        </w:tc>
      </w:tr>
      <w:tr>
        <w:tc>
          <w:tcPr>
            <w:tcW w:type="dxa" w:w="2880"/>
            <w:vAlign w:val="center"/>
          </w:tcPr>
          <w:p>
            <w:r>
              <w:t>Friedmann equation</w:t>
            </w:r>
          </w:p>
        </w:tc>
        <w:tc>
          <w:tcPr>
            <w:tcW w:type="dxa" w:w="2880"/>
            <w:vAlign w:val="center"/>
          </w:tcPr>
          <w:p>
            <w:r>
              <w:t>H² = (8πG/3)ρ − kc²/a² + Λc²/3</w:t>
            </w:r>
          </w:p>
        </w:tc>
        <w:tc>
          <w:tcPr>
            <w:tcW w:type="dxa" w:w="2880"/>
            <w:vAlign w:val="center"/>
          </w:tcPr>
          <w:p>
            <w:r>
              <w:t>Established</w:t>
            </w:r>
          </w:p>
        </w:tc>
      </w:tr>
      <w:tr>
        <w:tc>
          <w:tcPr>
            <w:tcW w:type="dxa" w:w="2880"/>
            <w:vAlign w:val="center"/>
          </w:tcPr>
          <w:p>
            <w:r>
              <w:t>Cosmic radiation scaling</w:t>
            </w:r>
          </w:p>
        </w:tc>
        <w:tc>
          <w:tcPr>
            <w:tcW w:type="dxa" w:w="2880"/>
            <w:vAlign w:val="center"/>
          </w:tcPr>
          <w:p>
            <w:r>
              <w:t>ρ_r ∝ a⁻⁴</w:t>
            </w:r>
          </w:p>
        </w:tc>
        <w:tc>
          <w:tcPr>
            <w:tcW w:type="dxa" w:w="2880"/>
            <w:vAlign w:val="center"/>
          </w:tcPr>
          <w:p>
            <w:r>
              <w:t>Established FLRW result</w:t>
            </w:r>
          </w:p>
        </w:tc>
      </w:tr>
      <w:tr>
        <w:tc>
          <w:tcPr>
            <w:tcW w:type="dxa" w:w="2880"/>
            <w:vAlign w:val="center"/>
          </w:tcPr>
          <w:p>
            <w:r>
              <w:t>Matter scaling</w:t>
            </w:r>
          </w:p>
        </w:tc>
        <w:tc>
          <w:tcPr>
            <w:tcW w:type="dxa" w:w="2880"/>
            <w:vAlign w:val="center"/>
          </w:tcPr>
          <w:p>
            <w:r>
              <w:t>ρ_m ∝ a⁻³</w:t>
            </w:r>
          </w:p>
        </w:tc>
        <w:tc>
          <w:tcPr>
            <w:tcW w:type="dxa" w:w="2880"/>
            <w:vAlign w:val="center"/>
          </w:tcPr>
          <w:p>
            <w:r>
              <w:t>Established FLRW result</w:t>
            </w:r>
          </w:p>
        </w:tc>
      </w:tr>
      <w:tr>
        <w:tc>
          <w:tcPr>
            <w:tcW w:type="dxa" w:w="2880"/>
            <w:vAlign w:val="center"/>
          </w:tcPr>
          <w:p>
            <w:r>
              <w:t>Acceleration equation</w:t>
            </w:r>
          </w:p>
        </w:tc>
        <w:tc>
          <w:tcPr>
            <w:tcW w:type="dxa" w:w="2880"/>
            <w:vAlign w:val="center"/>
          </w:tcPr>
          <w:p>
            <w:r>
              <w:t>ä/a = −(4πG/3)(ρ+3p/c²)+Λc²/3</w:t>
            </w:r>
          </w:p>
        </w:tc>
        <w:tc>
          <w:tcPr>
            <w:tcW w:type="dxa" w:w="2880"/>
            <w:vAlign w:val="center"/>
          </w:tcPr>
          <w:p>
            <w:r>
              <w:t>Established</w:t>
            </w:r>
          </w:p>
        </w:tc>
      </w:tr>
      <w:tr>
        <w:tc>
          <w:tcPr>
            <w:tcW w:type="dxa" w:w="2880"/>
            <w:vAlign w:val="center"/>
          </w:tcPr>
          <w:p>
            <w:r>
              <w:t>DarkStar energy ledger</w:t>
            </w:r>
          </w:p>
        </w:tc>
        <w:tc>
          <w:tcPr>
            <w:tcW w:type="dxa" w:w="2880"/>
            <w:vAlign w:val="center"/>
          </w:tcPr>
          <w:p>
            <w:r>
              <w:t>E_in = ΔM_BH c² + E_rad + E_jet + E_wind + E_rec + E_other</w:t>
            </w:r>
          </w:p>
        </w:tc>
        <w:tc>
          <w:tcPr>
            <w:tcW w:type="dxa" w:w="2880"/>
            <w:vAlign w:val="center"/>
          </w:tcPr>
          <w:p>
            <w:r>
              <w:t>DarkStar bookkeeping model</w:t>
            </w:r>
          </w:p>
        </w:tc>
      </w:tr>
      <w:tr>
        <w:tc>
          <w:tcPr>
            <w:tcW w:type="dxa" w:w="2880"/>
            <w:vAlign w:val="center"/>
          </w:tcPr>
          <w:p>
            <w:r>
              <w:t>BH growth model</w:t>
            </w:r>
          </w:p>
        </w:tc>
        <w:tc>
          <w:tcPr>
            <w:tcW w:type="dxa" w:w="2880"/>
            <w:vAlign w:val="center"/>
          </w:tcPr>
          <w:p>
            <w:r>
              <w:t>dM_BH/dt = (1−ε)Mdot_acc − Mdot_DH</w:t>
            </w:r>
          </w:p>
        </w:tc>
        <w:tc>
          <w:tcPr>
            <w:tcW w:type="dxa" w:w="2880"/>
            <w:vAlign w:val="center"/>
          </w:tcPr>
          <w:p>
            <w:r>
              <w:t>DarkStar model</w:t>
            </w:r>
          </w:p>
        </w:tc>
      </w:tr>
      <w:tr>
        <w:tc>
          <w:tcPr>
            <w:tcW w:type="dxa" w:w="2880"/>
            <w:vAlign w:val="center"/>
          </w:tcPr>
          <w:p>
            <w:r>
              <w:t>Environmental energy balance</w:t>
            </w:r>
          </w:p>
        </w:tc>
        <w:tc>
          <w:tcPr>
            <w:tcW w:type="dxa" w:w="2880"/>
            <w:vAlign w:val="center"/>
          </w:tcPr>
          <w:p>
            <w:r>
              <w:t>d(M_BH c² + E_env)/dt = P_in − P_out + P_ext</w:t>
            </w:r>
          </w:p>
        </w:tc>
        <w:tc>
          <w:tcPr>
            <w:tcW w:type="dxa" w:w="2880"/>
            <w:vAlign w:val="center"/>
          </w:tcPr>
          <w:p>
            <w:r>
              <w:t>DarkStar control-volume model</w:t>
            </w:r>
          </w:p>
        </w:tc>
      </w:tr>
      <w:tr>
        <w:tc>
          <w:tcPr>
            <w:tcW w:type="dxa" w:w="2880"/>
            <w:vAlign w:val="center"/>
          </w:tcPr>
          <w:p>
            <w:r>
              <w:t>Recycling fraction</w:t>
            </w:r>
          </w:p>
        </w:tc>
        <w:tc>
          <w:tcPr>
            <w:tcW w:type="dxa" w:w="2880"/>
            <w:vAlign w:val="center"/>
          </w:tcPr>
          <w:p>
            <w:r>
              <w:t>Mdot_rec = f_rec Mdot_in</w:t>
            </w:r>
          </w:p>
        </w:tc>
        <w:tc>
          <w:tcPr>
            <w:tcW w:type="dxa" w:w="2880"/>
            <w:vAlign w:val="center"/>
          </w:tcPr>
          <w:p>
            <w:r>
              <w:t>DarkStar test parameter</w:t>
            </w:r>
          </w:p>
        </w:tc>
      </w:tr>
      <w:tr>
        <w:tc>
          <w:tcPr>
            <w:tcW w:type="dxa" w:w="2880"/>
            <w:vAlign w:val="center"/>
          </w:tcPr>
          <w:p>
            <w:r>
              <w:t>Toy model</w:t>
            </w:r>
          </w:p>
        </w:tc>
        <w:tc>
          <w:tcPr>
            <w:tcW w:type="dxa" w:w="2880"/>
            <w:vAlign w:val="center"/>
          </w:tcPr>
          <w:p>
            <w:r>
              <w:t>dM_BH/dt = (1−ε−f_rec)Mdot_acc</w:t>
            </w:r>
          </w:p>
        </w:tc>
        <w:tc>
          <w:tcPr>
            <w:tcW w:type="dxa" w:w="2880"/>
            <w:vAlign w:val="center"/>
          </w:tcPr>
          <w:p>
            <w:r>
              <w:t>DarkStar toy model</w:t>
            </w:r>
          </w:p>
        </w:tc>
      </w:tr>
      <w:tr>
        <w:tc>
          <w:tcPr>
            <w:tcW w:type="dxa" w:w="2880"/>
            <w:vAlign w:val="center"/>
          </w:tcPr>
          <w:p>
            <w:r>
              <w:t>Generalized entropy constraint</w:t>
            </w:r>
          </w:p>
        </w:tc>
        <w:tc>
          <w:tcPr>
            <w:tcW w:type="dxa" w:w="2880"/>
            <w:vAlign w:val="center"/>
          </w:tcPr>
          <w:p>
            <w:r>
              <w:t>dS_gen/dt ≥ 0</w:t>
            </w:r>
          </w:p>
        </w:tc>
        <w:tc>
          <w:tcPr>
            <w:tcW w:type="dxa" w:w="2880"/>
            <w:vAlign w:val="center"/>
          </w:tcPr>
          <w:p>
            <w:r>
              <w:t>Established thermodynamic constraint</w:t>
            </w:r>
          </w:p>
        </w:tc>
      </w:tr>
      <w:tr>
        <w:tc>
          <w:tcPr>
            <w:tcW w:type="dxa" w:w="2880"/>
            <w:vAlign w:val="center"/>
          </w:tcPr>
          <w:p>
            <w:r>
              <w:t>Bekenstein–Hawking entropy</w:t>
            </w:r>
          </w:p>
        </w:tc>
        <w:tc>
          <w:tcPr>
            <w:tcW w:type="dxa" w:w="2880"/>
            <w:vAlign w:val="center"/>
          </w:tcPr>
          <w:p>
            <w:r>
              <w:t>S_BH = k_B c³A/(4Għ)</w:t>
            </w:r>
          </w:p>
        </w:tc>
        <w:tc>
          <w:tcPr>
            <w:tcW w:type="dxa" w:w="2880"/>
            <w:vAlign w:val="center"/>
          </w:tcPr>
          <w:p>
            <w:r>
              <w:t>Established semiclassical result</w:t>
            </w:r>
          </w:p>
        </w:tc>
      </w:tr>
      <w:tr>
        <w:tc>
          <w:tcPr>
            <w:tcW w:type="dxa" w:w="2880"/>
            <w:vAlign w:val="center"/>
          </w:tcPr>
          <w:p>
            <w:r>
              <w:t>Interior/exit Einstein equations</w:t>
            </w:r>
          </w:p>
        </w:tc>
        <w:tc>
          <w:tcPr>
            <w:tcW w:type="dxa" w:w="2880"/>
            <w:vAlign w:val="center"/>
          </w:tcPr>
          <w:p>
            <w:r>
              <w:t>Gμν(E)=(8πG/c⁴)Tμν(E); Gμν(D)=(8πG/c⁴)Tμν(D)</w:t>
            </w:r>
          </w:p>
        </w:tc>
        <w:tc>
          <w:tcPr>
            <w:tcW w:type="dxa" w:w="2880"/>
            <w:vAlign w:val="center"/>
          </w:tcPr>
          <w:p>
            <w:r>
              <w:t>Established field equation applied as a DarkStar ansatz</w:t>
            </w:r>
          </w:p>
        </w:tc>
      </w:tr>
    </w:tbl>
    <w:p>
      <w:pPr>
        <w:pStyle w:val="Heading1"/>
      </w:pPr>
      <w:r>
        <w:t>4. Radiation Propulsion — Mathematics and Models</w:t>
      </w:r>
    </w:p>
    <w:p>
      <w:r>
        <w:t>This section records the propulsion mathematics already developed in the research conversation. The first equations are established photon mechanics. They should not be labeled as newly discovered laws. The speculative research begins only when the project asks whether radiation stress-energy can be used to engineer spacetime rather than merely exchange momentum with a spacecraft.</w:t>
      </w:r>
    </w:p>
    <w:p>
      <w:pPr>
        <w:pStyle w:val="Heading2"/>
      </w:pPr>
      <w:r>
        <w:t>Photon momentum</w:t>
      </w:r>
    </w:p>
    <w:p>
      <w:r>
        <w:t>pγ = Eγ/c.</w:t>
      </w:r>
    </w:p>
    <w:p>
      <w:pPr>
        <w:pStyle w:val="Heading2"/>
      </w:pPr>
      <w:r>
        <w:t>Radiation power</w:t>
      </w:r>
    </w:p>
    <w:p>
      <w:r>
        <w:t>P = dE/dt.</w:t>
      </w:r>
    </w:p>
    <w:p>
      <w:pPr>
        <w:pStyle w:val="Heading2"/>
      </w:pPr>
      <w:r>
        <w:t>Ideal one-direction photon thrust</w:t>
      </w:r>
    </w:p>
    <w:p>
      <w:r>
        <w:t>F = P/c.</w:t>
      </w:r>
    </w:p>
    <w:p>
      <w:pPr>
        <w:pStyle w:val="Heading2"/>
      </w:pPr>
      <w:r>
        <w:t>Ideal 180° reflection</w:t>
      </w:r>
    </w:p>
    <w:p>
      <w:r>
        <w:t>F = 2P/c.</w:t>
      </w:r>
    </w:p>
    <w:p>
      <w:pPr>
        <w:pStyle w:val="Heading2"/>
      </w:pPr>
      <w:r>
        <w:t>Spacecraft acceleration under ideal reflection</w:t>
      </w:r>
    </w:p>
    <w:p>
      <w:r>
        <w:t>a = 2P/(Mc).</w:t>
      </w:r>
    </w:p>
    <w:p>
      <w:pPr>
        <w:pStyle w:val="Heading2"/>
      </w:pPr>
      <w:r>
        <w:t>Radiation-to-spacetime research direction</w:t>
      </w:r>
    </w:p>
    <w:p>
      <w:r>
        <w:t>Tμν^(radiation) → Gμν → spacetime response.</w:t>
      </w:r>
    </w:p>
    <w:p>
      <w:r>
        <w:t>Example already calculated: an ideal 1 GW perfectly reflected radiation beam gives approximately 6.67 N of thrust. This is a physics benchmark, not evidence of faster-than-light propulsion.</w:t>
      </w:r>
    </w:p>
    <w:p>
      <w:pPr>
        <w:pStyle w:val="Heading2"/>
      </w:pPr>
      <w:r>
        <w:t>Radiation propulsion model hierarchy</w:t>
      </w:r>
    </w:p>
    <w:p>
      <w:pPr>
        <w:pStyle w:val="ListNumber"/>
      </w:pPr>
      <w:r>
        <w:t>Level 1 — Conventional photon propulsion: radiation momentum produces thrust.</w:t>
      </w:r>
    </w:p>
    <w:p>
      <w:pPr>
        <w:pStyle w:val="ListNumber"/>
      </w:pPr>
      <w:r>
        <w:t>Level 2 — Photon recycling: repeated reflection can increase momentum transfer for a given stored radiation field, subject to losses and conservation.</w:t>
      </w:r>
    </w:p>
    <w:p>
      <w:pPr>
        <w:pStyle w:val="ListNumber"/>
      </w:pPr>
      <w:r>
        <w:t>Level 3 — High-energy-density radiation engineering: model electromagnetic energy density, pressure, heat, structural limits, and containment.</w:t>
      </w:r>
    </w:p>
    <w:p>
      <w:pPr>
        <w:pStyle w:val="ListNumber"/>
      </w:pPr>
      <w:r>
        <w:t>Level 4 — General-relativistic radiation source: represent electromagnetic radiation through its stress-energy tensor.</w:t>
      </w:r>
    </w:p>
    <w:p>
      <w:pPr>
        <w:pStyle w:val="ListNumber"/>
      </w:pPr>
      <w:r>
        <w:t>Level 5 — Warp/hyper-drive hypothesis: determine whether a physically realizable radiation configuration can produce a spacetime geometry with a useful propulsion effect. This is speculative and requires an explicit metric, source configuration, energy conditions, conservation analysis, and comparison with existing warp-drive solutions.</w:t>
      </w:r>
    </w:p>
    <w:p>
      <w:pPr>
        <w:pStyle w:val="Heading1"/>
      </w:pPr>
      <w:r>
        <w:t>5. Mathematics and Models of the Imaging/Visualization Work</w:t>
      </w:r>
    </w:p>
    <w:p>
      <w:r>
        <w:t>The visual work has been used as a research communication layer: it depicts concepts, model relationships, cosmic flow, compactness, toy-model behavior, bounce conditions, and the larger philosophical/cosmic vision. Images are not treated as evidence unless they are generated directly from quantitative calculations.</w:t>
      </w:r>
    </w:p>
    <w:p>
      <w:pPr>
        <w:pStyle w:val="ListBullet"/>
      </w:pPr>
      <w:r>
        <w:t>Darkstar_v8_toy_model.png — visualization of the v8 recycling-fraction toy model.</w:t>
      </w:r>
    </w:p>
    <w:p>
      <w:pPr>
        <w:pStyle w:val="ListBullet"/>
      </w:pPr>
      <w:r>
        <w:t>Darkstar_v9_bounce_condition_map.png — visualization of the v9 cosmological bounce-condition analysis.</w:t>
      </w:r>
    </w:p>
    <w:p>
      <w:pPr>
        <w:pStyle w:val="ListBullet"/>
      </w:pPr>
      <w:r>
        <w:t>Cosmic Vision Board Manifesto.png — conceptual/vision visualization; not scientific evidence.</w:t>
      </w:r>
    </w:p>
    <w:p>
      <w:pPr>
        <w:pStyle w:val="ListBullet"/>
      </w:pPr>
      <w:r>
        <w:t>The Big Picture: Cosmic Mind Map.png — conceptual map of the broader research/philosophy; not scientific evidence.</w:t>
      </w:r>
    </w:p>
    <w:p>
      <w:pPr>
        <w:pStyle w:val="ListBullet"/>
      </w:pPr>
      <w:r>
        <w:t>167.jpg / 167(1).jpg — supplied visual provenance material retained separately from the mathematical evidence record.</w:t>
      </w:r>
    </w:p>
    <w:p>
      <w:pPr>
        <w:pStyle w:val="ListBullet"/>
      </w:pPr>
      <w:r>
        <w:t>1790879251168.jpeg — supplied visual/provenance material retained separately.</w:t>
      </w:r>
    </w:p>
    <w:p>
      <w:pPr>
        <w:pStyle w:val="Heading1"/>
      </w:pPr>
      <w:r>
        <w:t>6. What Counts as 'New Mathematics' in This Record?</w:t>
      </w:r>
    </w:p>
    <w:p>
      <w:r>
        <w:t>A crucial distinction is preserved. Several equations created during the project are original to the DarkStar research as model formulations or derivations, but they are not necessarily new laws of mathematics or physics. For example, R_s=2GE/c⁴ is a useful DarkStar derivation from established equations; photon thrust F=2P/c is an established consequence of photon momentum and ideal reflection. The genuinely open mathematical discoveries would begin when the project derives a new, internally consistent spacetime, transport, recycling, or propulsion equation that makes a quantitative prediction not already contained in established theory.</w:t>
      </w:r>
    </w:p>
    <w:p>
      <w:pPr>
        <w:pStyle w:val="Heading1"/>
      </w:pPr>
      <w:r>
        <w:t>7. AI-Assisted Development and Provenance</w:t>
      </w:r>
    </w:p>
    <w:p>
      <w:r>
        <w:t>AI assistance has been used to help organize the chronology, inspect mathematical consistency, perform numerical bookkeeping, identify conflicts with established physics, draft equations and models for review, prepare publication structures, and develop visualization concepts. The scientific record should distinguish Scott Hunter Hughes's original ideas, established equations from the literature, model formulations, AI-assisted calculations/drafting, and any future genuinely new mathematical derivation.</w:t>
      </w:r>
    </w:p>
    <w:p>
      <w:r>
        <w:t>Per the research workflow, a genuinely new equation derived from the DarkStar model is to be shown to Scott Hunter Hughes for review before it is incorporated into a visualization or subsequent research paper.</w:t>
      </w:r>
    </w:p>
    <w:p>
      <w:pPr>
        <w:pStyle w:val="Heading1"/>
      </w:pPr>
      <w:r>
        <w:t>8. Current Stopping Point / New Discovery Frontier</w:t>
      </w:r>
    </w:p>
    <w:p>
      <w:pPr>
        <w:pStyle w:val="ListBullet"/>
      </w:pPr>
      <w:r>
        <w:t>A quantitative DarkStar recycling mechanism has not yet been demonstrated.</w:t>
      </w:r>
    </w:p>
    <w:p>
      <w:pPr>
        <w:pStyle w:val="ListBullet"/>
      </w:pPr>
      <w:r>
        <w:t>An interior-to-exterior event-horizon channel remains hypothetical and requires a complete spacetime model.</w:t>
      </w:r>
    </w:p>
    <w:p>
      <w:pPr>
        <w:pStyle w:val="ListBullet"/>
      </w:pPr>
      <w:r>
        <w:t>A radiation-driven cosmological bounce is not produced by standard FLRW radiation dynamics alone.</w:t>
      </w:r>
    </w:p>
    <w:p>
      <w:pPr>
        <w:pStyle w:val="ListBullet"/>
      </w:pPr>
      <w:r>
        <w:t>The next DarkStar mathematical milestone is a complete dynamical model that closes mass-energy, momentum, entropy, causal structure, and observational constraints.</w:t>
      </w:r>
    </w:p>
    <w:p>
      <w:pPr>
        <w:pStyle w:val="ListBullet"/>
      </w:pPr>
      <w:r>
        <w:t>The next radiation-propulsion milestone is a rigorous stress-energy/metric analysis determining what radiation configurations can and cannot accomplish in general relativity.</w:t>
      </w:r>
    </w:p>
    <w:p>
      <w:pPr>
        <w:pStyle w:val="ListBullet"/>
      </w:pPr>
      <w:r>
        <w:t>Any new equation produced at this frontier should be separately marked NEW DERIVATION and shown for review before publication or visualization.</w:t>
      </w:r>
    </w:p>
    <w:p>
      <w:pPr>
        <w:pStyle w:val="Heading1"/>
      </w:pPr>
      <w:r>
        <w:t>9. Standing Scientific Question</w:t>
      </w:r>
    </w:p>
    <w:p>
      <w:r>
        <w:rPr>
          <w:b/>
        </w:rPr>
        <w:t xml:space="preserve">HAS THIS BEEN DISPROVEN? </w:t>
      </w:r>
      <w:r>
        <w:t>The research record should ask this question at every major mathematical step. A failed derivation, conservation-law violation, contradiction with established theory, or decisive incompatible observation must be recorded rather than hidden. Conversely, failure to find a contradiction is not proof that a hypothesis is correct.</w:t>
      </w:r>
    </w:p>
    <w:p>
      <w:pPr>
        <w:pStyle w:val="Heading1"/>
      </w:pPr>
      <w:r>
        <w:t>10. Authorship and Copyright</w:t>
      </w:r>
    </w:p>
    <w:p>
      <w:r>
        <w:t>Author: Scott Hunter Hughes</w:t>
      </w:r>
    </w:p>
    <w:p>
      <w:r>
        <w:t>Research signature: “DarkStar Aurora Shockwave”</w:t>
      </w:r>
    </w:p>
    <w:p>
      <w:r>
        <w:t>Scientific concept: DarkStar</w:t>
      </w:r>
    </w:p>
    <w:p>
      <w:r>
        <w:t>Copyright: © 2026 Scott Hunter Hughes. All rights reserved.</w:t>
      </w:r>
    </w:p>
    <w:p>
      <w:r>
        <w:t>Copyright generally protects the expression of research, such as manuscripts, figures, and original presentation, rather than granting ownership of mathematical facts, equations, or abstract ideas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