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v20 1 01.01.2021 31.12.2022 мебель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