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Министерство науки и высшего образования РФ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Федеральное государственное бюджетное образовательное учреждение высшего образования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«Тульский государственный университет»</w:t>
      </w:r>
    </w:p>
    <w:p>
      <w:pPr>
        <w:spacing w:line="276" w:lineRule="auto"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Институт прикладной математики и компьютерных наук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МЕТОДИКА ФУНКЦИОНАЛЬНОГО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МОДЕЛИРОВАНИЯ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Отчет по выполнению практической работы № 5-6</w:t>
      </w: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 курсу «</w:t>
      </w:r>
      <w:r>
        <w:rPr>
          <w:rFonts w:ascii="Times New Roman" w:hAnsi="Times New Roman" w:cs="Times New Roman" w:eastAsia="Times New Roman"/>
          <w:b/>
          <w:i w:val="0"/>
          <w:sz w:val="28"/>
        </w:rPr>
        <w:t>Программная инженерия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Тема: «Разработка информационной системы поддержки принятия решений для оценки кредитоспособности физических лиц»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Выполнил ст. гр. </w:t>
      </w:r>
      <w:r>
        <w:rPr>
          <w:rFonts w:ascii="Times New Roman" w:hAnsi="Times New Roman" w:cs="Times New Roman" w:eastAsia="Times New Roman"/>
          <w:b w:val="0"/>
          <w:i/>
          <w:sz w:val="28"/>
        </w:rPr>
        <w:t>_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>_</w:t>
        <w:tab/>
        <w:t>Фамилия И. О.</w:t>
      </w:r>
    </w:p>
    <w:p>
      <w:pPr>
        <w:spacing w:line="276" w:lineRule="auto" w:after="0"/>
        <w:ind w:firstLine="0"/>
        <w:jc w:val="center"/>
      </w:pPr>
    </w:p>
    <w:p>
      <w:pPr>
        <w:tabs>
          <w:tab w:pos="9354" w:val="right"/>
        </w:tabs>
        <w:spacing w:line="276" w:lineRule="auto"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Проверил преп.</w:t>
        <w:tab/>
        <w:t>Лисняк М. В.</w:t>
      </w: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spacing w:line="276" w:lineRule="auto" w:after="0"/>
        <w:ind w:firstLine="0"/>
        <w:jc w:val="center"/>
      </w:pPr>
    </w:p>
    <w:p>
      <w:pPr>
        <w:keepNext w:val="0"/>
        <w:spacing w:line="276" w:lineRule="auto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Тула 2026</w:t>
      </w:r>
      <w:r>
        <w:br w:type="page"/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1 Цель работы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Изучить методологии функционального моделирования IDEF0 и IDEF3.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2 Введение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Объект моделирования — процесс оценки кредитоспособности физических лиц в отделе розничного кредитования Банка с использованием системы «СППР оценки кредитоспособности», описанной в практической работе № 3 и требованиях практической работы № 4. Модель строится в нотации «как будет» (TO-BE) и отражает весь функционал системы: каждой функции из описания системы соответствует по крайней мере один функциональный блок.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построена в нотации IDEF0 (контекстная диаграмма A-0 и диаграмма декомпозиции первого уровня A0) и в нотации IDEF3 (декомпозиция функциональных блоков диаграммы A0 до уровня отдельных операций с отображением логики их выполнения с помощью перекрёстков). Таким образом, модель содержит не менее трёх уровней.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3 Программно-аппаратные средства, используемые при выполнении работы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5.1 – Программно-аппаратные средства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1|0"/>
      </w:tblPr>
      <w:tblGrid>
        <w:gridCol w:w="2835"/>
        <w:gridCol w:w="6520"/>
      </w:tblGrid>
      <w:tr>
        <w:trPr>
          <w:cantSplit/>
          <w:tblHeader/>
        </w:trPr>
        <w:tc>
          <w:tcPr>
            <w:tcW w:type="dxa" w:w="2835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Средство</w:t>
            </w:r>
          </w:p>
        </w:tc>
        <w:tc>
          <w:tcPr>
            <w:tcW w:type="dxa" w:w="6520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Характеристика и назначение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Персональный компьютер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Процессор x86-64 (4 ядра, 3,0 ГГц), ОЗУ 16 ГБ, SSD 512 ГБ, монитор 24″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Операционная система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Windows 11 Pro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Текстовый редактор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Microsoft Word 2021 — оформление отчёта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Средства моделирования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PlantUML, Python 3.12 (matplotlib) — построение схем и диаграмм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Справочно-правовые системы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«Гарант», «КонсультантПлюс» — нормативная база</w:t>
            </w:r>
          </w:p>
        </w:tc>
      </w:tr>
      <w:tr>
        <w:trPr>
          <w:cantSplit/>
        </w:trPr>
        <w:tc>
          <w:tcPr>
            <w:tcW w:type="dxa" w:w="2835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Система контроля версий</w:t>
            </w:r>
          </w:p>
        </w:tc>
        <w:tc>
          <w:tcPr>
            <w:tcW w:type="dxa" w:w="6520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Git, GitHub — хранение материалов проекта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4 Основная часть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4.1 Контекстная диаграмма A-0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Контекстная диаграмма A-0 (рисунок 5.1) содержит один функциональный блок, отражающий систему в целом, и определяет её границы: входные данные (заявка и документы клиента, кредитный отчёт), управляющие воздействия (кредитная политика, законодательство, требования Банка России), механизмы (сотрудники и программно-аппаратный комплекс) и результаты.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Цель моделирования: описать функции процесса оценки кредитоспособности заёмщика с использованием СППР, потоки данных между ними и правила их выполнения для проектирования программного обеспечения системы.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Точка зрения: руководитель отдела розничного кредитования.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39399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-0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9399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5.1 – Контекстная диаграмма A-0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стрелок контекстной диаграммы приведено в таблице 5.2.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5.2 – Стрелки контекстной диаграммы A-0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2|0"/>
      </w:tblPr>
      <w:tblGrid>
        <w:gridCol w:w="2608"/>
        <w:gridCol w:w="1474"/>
        <w:gridCol w:w="5272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Стрелка</w:t>
            </w:r>
          </w:p>
        </w:tc>
        <w:tc>
          <w:tcPr>
            <w:tcW w:type="dxa" w:w="147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527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Заявка и анкета клиента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Заявление клиента на получение кредита, анкетные данные, сведения о доходах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Документы клиента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Копии паспорта, справки о доходах, согласия на обработку ПДн и запрос в БКИ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Кредитный отчёт БКИ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Сведения о кредитной истории заёмщика, полученные из бюро кредитных историй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Кредитная политика Банка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Кредитные продукты, стоп-факторы, лимиты полномочий, матрица условий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Законодательство РФ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152-ФЗ, 218-ФЗ, 353-ФЗ — требования к обработке данных и кредитованию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Банка России (ПДН)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Порядок расчёта показателя долговой нагрузки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Кредитный специалист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Регистрирует заявку, взаимодействует с клиентом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Андеррайтер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Принимает решение по заявке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Риск-аналитик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Ведёт и контролирует методику оценки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СППР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Программно-аппаратный комплекс системы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Решение по заявке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Одобрение (с условиями: сумма, срок, ставка) или отказ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Уведомление клиента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Сообщение клиенту о результате рассмотрения заявки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Запрос в БКИ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Запрос кредитного отчёта, направляемый в бюро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о качестве методики</w:t>
            </w:r>
          </w:p>
        </w:tc>
        <w:tc>
          <w:tcPr>
            <w:tcW w:type="dxa" w:w="147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527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Метрики качества и стабильности методики оценки (Gini, PSI)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4.2 Диаграмма декомпозиции A0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декомпозиции первого уровня A0 (рисунок 5.2) содержит пять функциональных блоков. Выход каждого блока используется последующими блоками как вход; обратная связь по управлению от блока A5 к блоку A3 отражает публикацию утверждённой версии методики (баллов скоринговой карты), которая определяет порядок расчёта оценки.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48016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0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8016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5.2 – Диаграмма декомпозиции первого уровня A0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функциональных блоков диаграммы A0 приведено в таблице 5.3.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5.3 – Функциональные блоки диаграммы A0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3|0"/>
      </w:tblPr>
      <w:tblGrid>
        <w:gridCol w:w="907"/>
        <w:gridCol w:w="2608"/>
        <w:gridCol w:w="5839"/>
      </w:tblGrid>
      <w:tr>
        <w:trPr>
          <w:cantSplit/>
          <w:tblHeader/>
        </w:trPr>
        <w:tc>
          <w:tcPr>
            <w:tcW w:type="dxa" w:w="907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Функциональный блок</w:t>
            </w:r>
          </w:p>
        </w:tc>
        <w:tc>
          <w:tcPr>
            <w:tcW w:type="dxa" w:w="583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A1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Принять и зарегистрировать заявку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Ввод анкеты и документов, проверка полноты, фиксация согласий клиента, регистрация заявки в системе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A2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Собрать и верифицировать данные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Запрос кредитного отчёта в БКИ, получение данных из АБС, проверка паспорта и стоп-листов, формирование кредитного досье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A3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скоринговую оценку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стоп-факторов, формирование признаков, расчёт балла скоринговой карты, вероятности дефолта и ПДН, формирование рекомендации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A4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Принять решение по заявке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Анализ рекомендации андеррайтером, принятие решения в пределах полномочий или передача на кредитный комитет, уведомление клиента</w:t>
            </w:r>
          </w:p>
        </w:tc>
      </w:tr>
      <w:tr>
        <w:trPr>
          <w:cantSplit/>
        </w:trPr>
        <w:tc>
          <w:tcPr>
            <w:tcW w:type="dxa" w:w="907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A5</w:t>
            </w:r>
          </w:p>
        </w:tc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Вести и контролировать методику</w:t>
            </w:r>
          </w:p>
        </w:tc>
        <w:tc>
          <w:tcPr>
            <w:tcW w:type="dxa" w:w="583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Мониторинг метрик качества и стабильности методики, проверка версии-кандидата на истории, утверждение и публикация новой версии</w:t>
            </w:r>
          </w:p>
        </w:tc>
      </w:tr>
    </w:tbl>
    <w:p>
      <w:pPr>
        <w:spacing w:line="240" w:lineRule="auto"/>
      </w:pP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Потоки данных (стрелки) диаграммы A0 приведены в таблице 5.4.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5.4 – Потоки данных диаграммы A0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4|0"/>
      </w:tblPr>
      <w:tblGrid>
        <w:gridCol w:w="3061"/>
        <w:gridCol w:w="2041"/>
        <w:gridCol w:w="4252"/>
      </w:tblGrid>
      <w:tr>
        <w:trPr>
          <w:cantSplit/>
          <w:tblHeader/>
        </w:trPr>
        <w:tc>
          <w:tcPr>
            <w:tcW w:type="dxa" w:w="306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Стрелка</w:t>
            </w:r>
          </w:p>
        </w:tc>
        <w:tc>
          <w:tcPr>
            <w:tcW w:type="dxa" w:w="204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Тип</w:t>
            </w:r>
          </w:p>
        </w:tc>
        <w:tc>
          <w:tcPr>
            <w:tcW w:type="dxa" w:w="4252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 → приёмник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Заявка и анкета клиента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Принять и зарегистрировать заявку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Документы клиента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Принять и зарегистрировать заявку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Кредитный отчёт БКИ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Собрать и верифицировать данные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Законодательство РФ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Принять и зарегистрировать заявку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Требования Банка России (ПДН)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Рассчитать скоринговую оценку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Кредитная политика Банка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Принять решение по заявке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Кредитный специалист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Принять и зарегистрировать заявку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СППР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Собрать и верифицировать данные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Андеррайтер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Принять решение по заявке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Риск-аналитик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Механизм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Граница диаграммы → Вести и контролировать методику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Запрос в БКИ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Собрать и верифицировать данные → граница диаграммы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Решение по заявке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Принять решение по заявке → граница диаграммы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Уведомление клиента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Принять решение по заявке → граница диаграммы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Отчёт о качестве методики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Вести и контролировать методику → граница диаграммы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Зарегистрированная заявка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Принять и зарегистрировать заявку → Собрать и верифицировать данные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Кредитное досье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Собрать и верифицировать данные → Рассчитать скоринговую оценку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Оценка и рекомендация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скоринговую оценку → Принять решение по заявке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История решений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вход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Принять решение по заявке → Вести и контролировать методику</w:t>
            </w:r>
          </w:p>
        </w:tc>
      </w:tr>
      <w:tr>
        <w:trPr>
          <w:cantSplit/>
        </w:trPr>
        <w:tc>
          <w:tcPr>
            <w:tcW w:type="dxa" w:w="306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Опубликованная версия методики</w:t>
            </w:r>
          </w:p>
        </w:tc>
        <w:tc>
          <w:tcPr>
            <w:tcW w:type="dxa" w:w="204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Выход → управление</w:t>
            </w:r>
          </w:p>
        </w:tc>
        <w:tc>
          <w:tcPr>
            <w:tcW w:type="dxa" w:w="4252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Вести и контролировать методику → Рассчитать скоринговую оценку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4.3 Декомпозиция функциональных блоков в нотации IDEF3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Для описания логики выполнения процессов функциональные блоки диаграммы A0 декомпозированы в нотации IDEF3. На диаграммах IDEF3 используются единицы работы (UOW), связи предшествования (сплошные стрелки) и перекрёстки: «&amp;» — асинхронное «И» (все ветви выполняются), «X» — исключающее «ИЛИ» (выполняется ровно одна ветвь), «O» — «ИЛИ» (выполняется одна или несколько ветвей). Номер единицы работы указывается в левом нижнем углу блока.</w:t>
      </w: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4.4 Декомпозиция блока A2 «Собрать и верифицировать данные»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Диаграмма декомпозиции блока A2 (рисунок 5.3) показывает, что после проверки полноты анкеты три проверки выполняются параллельно (асинхронный перекрёсток «И» J1): запрос кредитного отчёта в БКИ, проверка паспорта и стоп-листов, получение данных из АБС. Сборка досье начинается только после завершения всех трёх проверок (перекрёсток слияния J2).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24972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_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497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5.3 – Диаграмма IDEF3 декомпозиции блока A2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элементов диаграммы приведено в таблице 5.5.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5.5 – Элементы диаграммы IDEF3 «Диаграмма IDEF3 декомпозиции блока A2»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5|0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2.1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Проверить полноту и корректность анкеты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Контроль обязательных полей, форматов и диапазонов; проверка наличия согласий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J1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Перекрёсток «&amp;» (разветвление)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Запуск трёх параллельных проверок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Запросить кредитный отчёт в БКИ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Формирование запроса по API бюро, получение и разбор отчёта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2.3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Проверить паспорт и стоп-листы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действительности паспорта, списков Росфинмониторинга и внутренних стоп-листов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5.5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5|4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2.4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Получить данные из АБС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Счета, зарплатные поступления, действующие кредиты клиента в Банке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Перекрёсток «&amp;» (слияние)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Ожидание завершения всех проверок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2.5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Сформировать кредитное досье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Объединение данных анкеты, отчёта БКИ и АБС в досье заявки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4.5 Декомпозиция блока A3 «Рассчитать скоринговую оценку»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На диаграмме декомпозиции блока A3 (рисунок 5.4) после проверки стоп-факторов выполняется ветвление по исключающему «ИЛИ» (J1): при срабатывании стоп-фактора сразу формируется отказ, иначе формируются признаки, после чего параллельно рассчитываются вероятность дефолта и показатель долговой нагрузки. Результат в обеих ветвях сохраняется операцией 3.7.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6113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_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611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5.4 – Диаграмма IDEF3 декомпозиции блока A3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элементов диаграммы приведено в таблице 5.6.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5.6 – Элементы диаграммы IDEF3 «Диаграмма IDEF3 декомпозиции блока A3»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6|0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3.1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Проверить стоп-факторы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Проверка правил кредитной политики (возраст, гражданство, текущая просрочка, банкротство и т. п.)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J1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Перекрёсток «X» (разветвление)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Выбор ветви: сработал стоп-фактор / не сработал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Сформировать отказ по стоп-фактору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Рекомендация «Отказ» с кодом стоп-фактора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3.3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Сформировать признаки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Расчёт 40 признаков анкеты, кредитной истории и данных АБС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J2, J3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Перекрёстки «&amp;»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Параллельный расчёт PD и ПДН и ожидание их завершения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5.6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6|5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PD по скоринговой карте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Начисление баллов опубликованной версией карты, перевод балла в вероятность дефолта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3.5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ПДН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Отношение среднемесячных платежей к среднемесячному доходу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3.6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Сформировать рекомендацию и объяснение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Класс риска, рекомендация и условия по матрице «класс риска × ПДН», пять факторов «за» и пять «против»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J4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Перекрёсток «X» (слияние)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Объединение ветвей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3.7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Сохранить результат скоринга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Запись результата в БД и передача заявки на рассмотрение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4.6 Декомпозиция операции 3.4 «Рассчитать PD по скоринговой карте» (третий уровень)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Операция 3.4 декомпозирована на третьем уровне модели (рисунок 5.5). После загрузки опубликованной версии методики значения признаков относятся к интервалам характеристик скоринговой карты, баллы суммируются и переводятся в вероятность дефолта; затем присваивается класс риска и, если сотруднику нужно объяснение, рассчитывается вклад характеристик (перекрёсток «ИЛИ» J1 — выполняется одна или обе ветви).</w:t>
      </w:r>
    </w:p>
    <w:p>
      <w:pPr>
        <w:keepNext/>
        <w:spacing w:line="240" w:lineRule="auto" w:before="120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940000" cy="151060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def3_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10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Рисунок 5.5 – Диаграмма IDEF3 декомпозиции операции 3.4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Описание элементов диаграммы приведено в таблице 5.7.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5.7 – Элементы диаграммы IDEF3 «Диаграмма IDEF3 декомпозиции операции 3.4»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7|0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3.4.1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Загрузить опубликованную версию методики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Получение баллов характеристик из реестра версий методики</w:t>
            </w:r>
          </w:p>
        </w:tc>
      </w:tr>
    </w:tbl>
    <w:p>
      <w:pPr>
        <w:keepNext/>
        <w:ind w:firstLine="0"/>
        <w:jc w:val="righ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Продолжение таблицы 5.7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7|1"/>
      </w:tblPr>
      <w:tblGrid>
        <w:gridCol w:w="964"/>
        <w:gridCol w:w="2721"/>
        <w:gridCol w:w="5669"/>
      </w:tblGrid>
      <w:tr>
        <w:trPr>
          <w:cantSplit/>
          <w:tblHeader/>
        </w:trPr>
        <w:tc>
          <w:tcPr>
            <w:tcW w:type="dxa" w:w="964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Номер</w:t>
            </w:r>
          </w:p>
        </w:tc>
        <w:tc>
          <w:tcPr>
            <w:tcW w:type="dxa" w:w="272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Элемент</w:t>
            </w:r>
          </w:p>
        </w:tc>
        <w:tc>
          <w:tcPr>
            <w:tcW w:type="dxa" w:w="5669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Начислить баллы по характеристикам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Отнесение значения каждого признака к интервалу характеристики (отдельный интервал — для пропусков), суммирование баллов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3.4.3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Перевести балл в вероятность дефолта</w:t>
            </w:r>
          </w:p>
        </w:tc>
        <w:tc>
          <w:tcPr>
            <w:tcW w:type="dxa" w:w="5669"/>
          </w:tcPr>
          <w:p>
            <w:pPr>
              <w:spacing w:after="0"/>
              <w:ind w:firstLine="0"/>
            </w:pPr>
            <w:r/>
            <m:oMathPara>
              <m:oMath>
                <m:r>
                  <m:rPr>
                    <m:sty m:val="p"/>
                  </m:rPr>
                  <w:rPr>
                    <w:rFonts w:ascii="Cambria Math" w:hAnsi="Cambria Math" w:cs="Cambria Math"/>
                    <w:sz w:val="24"/>
                    <w:szCs w:val="24"/>
                  </w:rPr>
                  <m:t>PD</m:t>
                </m:r>
                <m:r>
                  <w:rPr>
                    <w:rFonts w:ascii="Cambria Math" w:hAnsi="Cambria Math" w:cs="Cambria Math"/>
                    <w:sz w:val="24"/>
                    <w:szCs w:val="24"/>
                  </w:rPr>
                  <m:t>=</m:t>
                </m:r>
                <m:f>
                  <m:fPr>
                    <m:type m:val="bar"/>
                  </m:fPr>
                  <m:num>
                    <m:argPr>
                      <m:scrLvl m:val="0"/>
                    </m:argP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</m:t>
                    </m:r>
                  </m:num>
                  <m:den>
                    <m:argPr>
                      <m:scrLvl m:val="0"/>
                    </m:argPr>
                    <m:r>
                      <w:rPr>
                        <w:rFonts w:ascii="Cambria Math" w:hAnsi="Cambria Math" w:cs="Cambria Math"/>
                        <w:sz w:val="24"/>
                        <w:szCs w:val="24"/>
                      </w:rPr>
                      <m:t>1+50·</m:t>
                    </m:r>
                    <m:sSup>
                      <m:e>
                        <m:argPr>
                          <m:scrLvl m:val="0"/>
                        </m:argPr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2</m:t>
                        </m:r>
                      </m:e>
                      <m:sup>
                        <m:argPr>
                          <m:scrLvl m:val="0"/>
                        </m:argPr>
                        <m:r>
                          <w:rPr>
                            <w:rFonts w:ascii="Cambria Math" w:hAnsi="Cambria Math" w:cs="Cambria Math"/>
                            <w:sz w:val="24"/>
                            <w:szCs w:val="24"/>
                          </w:rPr>
                          <m:t>(S−600)/20</m:t>
                        </m:r>
                      </m:sup>
                    </m:sSup>
                  </m:den>
                </m:f>
              </m:oMath>
            </m:oMathPara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J1, J2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Перекрёстки «O»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Выполнение одной или обеих ветвей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3.4.4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Присвоить класс риска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Отнесение к классу A–E по порогам PD</w:t>
            </w:r>
          </w:p>
        </w:tc>
      </w:tr>
      <w:tr>
        <w:trPr>
          <w:cantSplit/>
        </w:trPr>
        <w:tc>
          <w:tcPr>
            <w:tcW w:type="dxa" w:w="964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3.4.5</w:t>
            </w:r>
          </w:p>
        </w:tc>
        <w:tc>
          <w:tcPr>
            <w:tcW w:type="dxa" w:w="272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Рассчитать вклад характеристик</w:t>
            </w:r>
          </w:p>
        </w:tc>
        <w:tc>
          <w:tcPr>
            <w:tcW w:type="dxa" w:w="5669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Отклонение баллов каждой характеристики от нейтрального значения; пять наибольших в каждую сторону</w:t>
            </w:r>
          </w:p>
        </w:tc>
      </w:tr>
    </w:tbl>
    <w:p>
      <w:pPr>
        <w:spacing w:line="240" w:lineRule="auto"/>
      </w:pPr>
    </w:p>
    <w:p>
      <w:pPr>
        <w:pStyle w:val="Heading2"/>
      </w:pPr>
      <w:r>
        <w:rPr>
          <w:rFonts w:ascii="Times New Roman" w:hAnsi="Times New Roman" w:cs="Times New Roman" w:eastAsia="Times New Roman"/>
          <w:b/>
          <w:i w:val="0"/>
          <w:sz w:val="28"/>
        </w:rPr>
        <w:t>4.7 Хранилища данных и внешние объекты</w:t>
      </w:r>
    </w:p>
    <w:p>
      <w:pPr>
        <w:keepNext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Хранилища данных, используемые в модели, и внешние по отношению к системе объекты приведены в таблице 5.8.</w:t>
      </w:r>
    </w:p>
    <w:p>
      <w:pPr>
        <w:keepNext/>
        <w:ind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Таблица 5.8 – Хранилища данных и внешние объекты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  <w:tblCaption w:val="5.8|0"/>
      </w:tblPr>
      <w:tblGrid>
        <w:gridCol w:w="2608"/>
        <w:gridCol w:w="1701"/>
        <w:gridCol w:w="5046"/>
      </w:tblGrid>
      <w:tr>
        <w:trPr>
          <w:cantSplit/>
          <w:tblHeader/>
        </w:trPr>
        <w:tc>
          <w:tcPr>
            <w:tcW w:type="dxa" w:w="2608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Наименование</w:t>
            </w:r>
          </w:p>
        </w:tc>
        <w:tc>
          <w:tcPr>
            <w:tcW w:type="dxa" w:w="1701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Вид</w:t>
            </w:r>
          </w:p>
        </w:tc>
        <w:tc>
          <w:tcPr>
            <w:tcW w:type="dxa" w:w="5046"/>
          </w:tcPr>
          <w:p>
            <w:pPr>
              <w:keepNext/>
              <w:widowControl w:val="0"/>
              <w:spacing w:line="240" w:lineRule="auto" w:after="0"/>
              <w:ind w:firstLine="0"/>
              <w:jc w:val="center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Описание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БД заявок и клиентов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данных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Заявки, анкеты, согласия, документы, решения, выданные кредиты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кредитных отчётов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данных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Полученные из БКИ кредитные отчёты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Реестр версий методики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данных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Версии скоринговой карты, их метрики и статусы, отчёты мониторинга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Справочники кредитной политики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Хранилище данных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Продукты, стоп-факторы, лимиты полномочий, матрица условий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Бюро кредитных историй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Внешний объект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 кредитных отчётов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АБС Банка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Внешний объект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 данных о счетах и доходах, приёмник одобренных заявок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Клиент</w:t>
            </w:r>
          </w:p>
        </w:tc>
        <w:tc>
          <w:tcPr>
            <w:tcW w:type="dxa" w:w="1701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Внешний объект</w:t>
            </w:r>
          </w:p>
        </w:tc>
        <w:tc>
          <w:tcPr>
            <w:tcW w:type="dxa" w:w="5046"/>
          </w:tcPr>
          <w:p>
            <w:pPr>
              <w:widowControl w:val="0"/>
              <w:spacing w:line="240" w:lineRule="auto" w:after="0"/>
              <w:ind w:firstLine="0"/>
              <w:jc w:val="left"/>
            </w:pPr>
            <w:r/>
            <w:r>
              <w:rPr>
                <w:rFonts w:ascii="Times New Roman" w:hAnsi="Times New Roman" w:cs="Times New Roman" w:eastAsia="Times New Roman"/>
                <w:b w:val="0"/>
                <w:i w:val="0"/>
                <w:sz w:val="24"/>
              </w:rPr>
              <w:t>Источник заявки, получатель уведомления о решении</w:t>
            </w:r>
          </w:p>
        </w:tc>
      </w:tr>
    </w:tbl>
    <w:p>
      <w:pPr>
        <w:spacing w:line="240" w:lineRule="auto"/>
      </w:pP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5 Заключение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В ходе работы изучены методологии функционального моделирования IDEF0 и IDEF3 и построена функциональная модель системы поддержки принятия решений для оценки кредитоспособности физических лиц. Модель включает три уровня: контекстную диаграмму A-0, диаграмму декомпозиции A0 с пятью функциональными блоками, диаграммы IDEF3 второго уровня для блоков A2 и A3 (5 и 7 единиц работы соответственно) и диаграмму третьего уровня для операции 3.4 (5 единиц работы).</w:t>
      </w:r>
    </w:p>
    <w:p>
      <w:r>
        <w:rPr>
          <w:rFonts w:ascii="Times New Roman" w:hAnsi="Times New Roman" w:cs="Times New Roman" w:eastAsia="Times New Roman"/>
          <w:b w:val="0"/>
          <w:i w:val="0"/>
          <w:sz w:val="28"/>
        </w:rPr>
        <w:t>Модель отражает весь описанный функционал системы, существующие потоки данных и правила их движения, в том числе параллельное выполнение проверок и ветвление процесса по результатам проверки стоп-факторов. Описаны функциональные блоки, потоки данных, хранилища и внешние объекты.</w:t>
      </w:r>
    </w:p>
    <w:p>
      <w:pPr>
        <w:pStyle w:val="Heading1"/>
      </w:pPr>
      <w:r>
        <w:rPr>
          <w:rFonts w:ascii="Times New Roman" w:hAnsi="Times New Roman" w:cs="Times New Roman" w:eastAsia="Times New Roman"/>
          <w:b/>
          <w:i w:val="0"/>
          <w:sz w:val="28"/>
        </w:rPr>
        <w:t>6 Список используемой литературы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 ГОСТ 34.601-90. Информационная технология. Комплекс стандартов на автоматизированные системы. Автоматизированные системы. Стадии создания.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 ГОСТ 34.602-89. Информационная технология. Комплекс стандартов на автоматизированные системы. Техническое задание на создание автоматизированной системы. — М.: Стандартинформ, 2009.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 ГОСТ Р ИСО/МЭК 12207-2010. Информационная технология. Системная и программная инженерия. Процессы жизненного цикла программных средств. — М.: Стандартинформ, 2011.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 Соммервилл И. Инженерия программного обеспечения. — 6-е изд. — М.: Вильямс, 2002. — 624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 Вигерс К., Битти Д. Разработка требований к программному обеспечению. — 3-е изд. — М.: Русская редакция; СПб.: БХВ-Петербург, 2014. — 736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 Сиддики Н. Скоринговые карты для оценки кредитных рисков. Разработка и внедрение интеллектуальных методов кредитного скоринга. — М.: Манн, Иванов и Фербер, 2014. — 272 с.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7. Федеральный закон от 30.12.2004 № 218-ФЗ «О кредитных историях».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8. Федеральный закон от 21.12.2013 № 353-ФЗ «О потребительском кредите (займе)».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9. Федеральный закон от 27.07.2006 № 152-ФЗ «О персональных данных».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10. Методические указания по выполнению практических работ по дисциплине «Программная инженерия». Части 1, 2. — Тула: ТулГУ.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11. Р 50.1.028-2001. Информационные технологии поддержки жизненного цикла продукции. Методология функционального моделирования. — М.: Госстандарт России, 2001.</w:t>
      </w:r>
    </w:p>
    <w:p>
      <w:pPr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12. Маклаков С. В. Моделирование бизнес-процессов с AllFusion Process Modeler (BPwin 4.1). — М.: Диалог-МИФИ, 2004. — 240 с.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cs="Times New Roman" w:eastAsia="Times New Roman"/>
        <w:sz w:val="24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60" w:lineRule="auto" w:before="0" w:after="0"/>
      <w:ind w:firstLine="709"/>
      <w:jc w:val="both"/>
    </w:pPr>
    <w:rPr>
      <w:rFonts w:ascii="Times New Roman" w:hAnsi="Times New Roman" w:cs="Times New Roman" w:eastAsia="Times New Roman"/>
      <w:sz w:val="28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709"/>
      <w:jc w:val="left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360" w:lineRule="auto"/>
      <w:ind w:firstLine="709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