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РАЗРАБОТКА ТРЕБОВАНИЙ К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ИНФОРМАЦИОННОЙ СИСТЕМЕ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4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Составить и проанализировать требования к информационной системе, оформить техническое задание на разработку программного обеспечения.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выполняется для базовой редакции системы поддержки принятия решений для оценки кредитоспособности физических лиц, описание которой составлено в практической работе № 3. Заказчик — небольшая микрофинансовая организация или кредитный потребительский кооператив с одним-двумя специалистами по займам, одним компьютером и без ИТ-специалиста. Цель работы — сформировать полный и непротиворечивый набор требований к системе и оформить техническое задание на её создание.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формирования и анализа требований используется метод VORD (Viewpoint-Oriented Requirements Definition — определение требований на основе точек зрения), включающий четыре этапа: идентификацию точек зрения и соответствующих им сервисов, структурирование точек зрения (построение иерархии), документирование точек зрения и отображение системы точек зрения на объекты информационной модели.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Идентификация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«мозгового штурма» были выявлены потенциальные получатели системных сервисов (прямые точки зрения — пользователи и внешние системы, непосредственно взаимодействующие с системой), косвенные точки зрения (лица и организации, заинтересованные в результатах работы системы, но не работающие с ней напрямую) и точки зрения предметной области (ограничения, налагаемые нормативными требованиями и характеристиками предметной области).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идентификации точек зрения представлена на рисунке 4.1. Тёмными овалами обозначены точки зрения, светлыми — идентифицированные системные сервисы.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455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identif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55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4.1 – Диаграмма идентификации точек зрения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Распределение сервисов по точкам зрения приведено в таблице 4.2.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4.2 – Сервисы, соотнесённые с точками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0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Регистрация заявки и анкеты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Ввод сведений из кредитного отчёта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оценки и факторов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Принятие решения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Список и карточка заявки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Организации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Отчёт об одобрении по классам риска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Просмотр решений и обоснований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Ведение справочника продуктов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 (заёмщик)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Быстрое решение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Защита персональных данных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Причина отказа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Бюро кредитных историй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Косвенная (внешний источник)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Кредитный отчёт на портале бюро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Согласие клиента на запрос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2|4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Регулятор и законодательство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Предметной области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Расчёт ПДН по требованиям Банка России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Согласие на обработку ПДн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Документирование решений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Эксплуатация без ИТ-специалиста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Предметной области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Установка без интернета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Резервная копия — копия файла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 Работа на слабом компьютере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Структурирование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Выявленные точки зрения сгруппированы в иерархию (рисунок 4.2). На верхнем уровне выделены пользователи системы, внешние источники данных и заинтересованные лица с ограничениями. Общесистемные сервисы (вход по паролю, хранение данных в одном файле) предоставляются на верхнем уровне и наследуются всеми точками зрения. Точка зрения «Эксплуатация без ИТ-специалиста» отражает главное отличие базовой редакции: требования к установке и сопровождению.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323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vord_hierarc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3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4.2 – Диаграмма иерархии точек зрения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Документирование точек зрения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ключевых точек зрения выполнено документирование в виде шаблонов, содержащих описание точки зрения, предоставляемые ей сервисы, исходные данные, события и исключительные ситуации (таблица 4.3).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4.3 – Шаблоны описания ключевых точек зрения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3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 шаблона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«Специалист по займам»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 Организации, принимающий заявки и решающий, выдавать ли заём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Ведущий специалист по займам (интервью), действующая балльная таблица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заявки и анкеты; ввод сведений из кредитного отчёта; просмотр оценки и факторов; принятие решения; список и карточка заявки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Паспорт и анкета клиента, согласие, кредитный отчёт с портала БКИ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События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Обращение клиента; получение кредитного отчёта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Сработал стоп-фактор — рекомендуется отказ без расчёта балла; сумма или срок вне диапазона продукта — заявка не сохраняется; решение расходится с рекомендацией — нужно обоснование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«Эксплуатация без ИТ-специалиста»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Организации, у которой нет ИТ-специалиста, сервера и, возможно, постоянного интернета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Организации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Установка двойным щелчком без интернета; резервная копия — копия одного файла; работа на имеющемся компьютере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установлен Python — программа сообщает, где его скачать; база данных отсутствует — создаётся с демонстрационными данными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 «Регулятор и законодательство»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законодательства и Банка России к выдаче займов и обработке данных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Сервисы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ПДН с учётом платежа по новому займу; запрет оценки без согласия клиента; сохранение обоснования решения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Исключительные ситуации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согласия клиента — заявка не регистрируется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Информационная модель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Информационная модель системы построена на основе анализа точек зрения и представлена в виде диаграммы «сущность–связь» (рисунок 4.3). Модель соответствует физической схеме базы данных SQLite: для каждой таблицы указаны имена и типы столбцов.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4_er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4.3 – Информационная модель системы (диаграмма «сущность–связь»)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основных объектов информационной модели приведено в таблице 4.4.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4.4 – Объекты информационной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4|0"/>
      </w:tblPr>
      <w:tblGrid>
        <w:gridCol w:w="2041"/>
        <w:gridCol w:w="3628"/>
        <w:gridCol w:w="368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Объект</w:t>
            </w:r>
          </w:p>
        </w:tc>
        <w:tc>
          <w:tcPr>
            <w:tcW w:type="dxa" w:w="36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users (Пользователь)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Учётная запись для входа в систему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Логин, хэш пароля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products (Кредитный продукт)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займа и его параметры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Наименование, диапазоны суммы и срока, базовая ставка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clients (Клиент)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Физическое лицо — заёмщик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ФИО, дата рождения, паспорт, телефон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applications (Заявка)</w:t>
            </w:r>
          </w:p>
        </w:tc>
        <w:tc>
          <w:tcPr>
            <w:tcW w:type="dxa" w:w="36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Обращение клиента за займом; содержит сведения из кредитного отчёта, результат оценки и решение</w:t>
            </w:r>
          </w:p>
        </w:tc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Клиент, продукт, сумма, срок, доход, стаж, данные БКИ, балл, PD, класс риска, ПДН, стоп-фактор, факторы, рекомендация, состояние, решение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Клиент может подать несколько заявок; клиент находится по паспорту. Каждая заявка относится к одному продукту. Сведения из кредитного отчёта, результат оценки и решение хранятся в самой заявке: в базовой редакции заявка оценивается один раз при регистрации, а решение принимает один специалист, поэтому отдельные таблицы для оценок и решений не нужны. Это упрощает схему и резервное копирование.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Пользовательские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информационной модели, диаграмм идентификации и иерархии точек зрения сформированы пользовательские требования — описание на естественном языке функций, выполняемых системой, и ограничений, накладываемых на неё (таблица 4.5).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4.5 – Пользовательские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5|0"/>
      </w:tblPr>
      <w:tblGrid>
        <w:gridCol w:w="794"/>
        <w:gridCol w:w="5443"/>
        <w:gridCol w:w="1928"/>
        <w:gridCol w:w="1191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544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Точка зрения</w:t>
            </w:r>
          </w:p>
        </w:tc>
        <w:tc>
          <w:tcPr>
            <w:tcW w:type="dxa" w:w="11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должен войти в систему по логину и паролю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должен зарегистрировать заявку: анкета клиента, продукт, сумма, срок, доход, стаж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не должна оцениваться без согласия клиента на обработку данных и запрос в БКИ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Регулятор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должен ввести сведения из кредитного отчёта БКИ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займам, БКИ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проверить стоп-факторы, рассчитать ПДН, вероятность дефолта и класс риска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займам, Регулятор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рекомендовать решение и условия займа и показать, какие факторы повлияли на оценку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займам, Клиент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должен принять решение; решение, отличное от рекомендации, — с обоснованием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займам, Руководитель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П-8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показывать список заявок с отбором по состоянию и карточку заявки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займам, Руководитель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формировать отчёт об одобрении заявок по классам риска за период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Организации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должен вести справочник кредитных продуктов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Организации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Средний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  <w:tc>
          <w:tcPr>
            <w:tcW w:type="dxa" w:w="544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должна устанавливаться и работать на одном компьютере Windows без интернета и без ИТ-специалиста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Эксплуатация без ИТ-специалиста</w:t>
            </w:r>
          </w:p>
        </w:tc>
        <w:tc>
          <w:tcPr>
            <w:tcW w:type="dxa" w:w="11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Высокий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Системные требования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Системные требования детализируют пользовательские требования и служат основой для проектирования. Функциональные системные требования приведены в таблице 4.6, требования к архитектуре, оборудованию, параметрам, программному интерфейсу, структуре и взаимодействию — в таблице 4.7.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4.6 – Функциональные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6|0"/>
      </w:tblPr>
      <w:tblGrid>
        <w:gridCol w:w="907"/>
        <w:gridCol w:w="7030"/>
        <w:gridCol w:w="1417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703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Системное требование</w:t>
            </w:r>
          </w:p>
        </w:tc>
        <w:tc>
          <w:tcPr>
            <w:tcW w:type="dxa" w:w="141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Связь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по логину и паролю; пароль хранится в виде хэша; страницы, кроме страницы входа, недоступны без входа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 заявки содержит обязательные поля: фамилия, имя, дата рождения, паспорт (серия и номер), продукт, сумма, срок, доход; клиент с тем же паспортом не дублируется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 и срок проверяются по диапазонам выбранного продукта; при нарушении заявка не сохраняется и выводится сообщение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не сохраняется без отметки о согласии клиента на обработку персональных данных и запрос в БКИ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П-3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 содержит поля сведений из кредитного отчёта: платежи по действующим кредитам, максимальная и текущая просрочка, число запросов за 6 месяцев, длина кредитной истории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С-6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Стоп-факторы: возраст менее 21 года; возраст на дату погашения более 70 лет; текущая просрочка; ПДН больше 80 %; доход ниже 15 000 руб. При срабатывании — рекомендация «Отказать» без расчёта балла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С-7</w:t>
            </w:r>
          </w:p>
        </w:tc>
        <w:tc>
          <w:tcPr>
            <w:tcW w:type="dxa" w:w="7030"/>
          </w:tcPr>
          <w:p>
            <w:pPr>
              <w:spacing w:after="0"/>
              <w:ind w:firstLine="0"/>
            </w:pPr>
            <w:r/>
            <m:oMathPara>
              <m:oMath>
                <m:r>
                  <m:rPr>
                    <m:nor/>
                  </m:rPr>
                  <w:rPr>
                    <w:rFonts w:ascii="Cambria Math" w:hAnsi="Cambria Math" w:cs="Cambria Math"/>
                    <w:sz w:val="24"/>
                    <w:szCs w:val="24"/>
                  </w:rPr>
                  <m:t>ПДН</m:t>
                </m:r>
                <m:r>
                  <w:rPr>
                    <w:rFonts w:ascii="Cambria Math" w:hAnsi="Cambria Math" w:cs="Cambria Math"/>
                    <w:sz w:val="24"/>
                    <w:szCs w:val="24"/>
                  </w:rPr>
                  <m:t>=</m:t>
                </m:r>
                <m:f>
                  <m:fPr>
                    <m:type m:val="bar"/>
                  </m:fPr>
                  <m:num>
                    <m:argPr>
                      <m:scrLvl m:val="0"/>
                    </m:argPr>
                    <m:r>
                      <m:rPr>
                        <m:nor/>
                      </m:rP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платежи по кредитам</m:t>
                    </m:r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+P</m:t>
                    </m:r>
                  </m:num>
                  <m:den>
                    <m:argPr>
                      <m:scrLvl m:val="0"/>
                    </m:argPr>
                    <m:r>
                      <m:rPr>
                        <m:nor/>
                      </m:rP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доход</m:t>
                    </m:r>
                  </m:den>
                </m:f>
              </m:oMath>
            </m:oMathPara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где </w:t>
            </w:r>
            <m:oMath>
              <m:r>
                <w:rPr>
                  <w:rFonts w:ascii="Cambria Math" w:hAnsi="Cambria Math" w:cs="Cambria Math"/>
                  <w:sz w:val="24"/>
                  <w:szCs w:val="24"/>
                </w:rPr>
                <m:t>P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 — аннуитетный платёж по новому займу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С-8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Балл</w:t>
            </w:r>
          </w:p>
          <w:p>
            <w:pPr>
              <w:spacing w:after="0"/>
              <w:ind w:firstLine="0"/>
            </w:pPr>
            <m:oMathPara>
              <m:oMath>
                <m:r>
                  <w:rPr>
                    <w:rFonts w:ascii="Cambria Math" w:hAnsi="Cambria Math" w:cs="Cambria Math"/>
                    <w:sz w:val="24"/>
                    <w:szCs w:val="24"/>
                  </w:rPr>
                  <m:t>S=400+</m:t>
                </m:r>
                <m:nary>
                  <m:naryPr>
                    <m:chr m:val="∑"/>
                    <m:limLoc m:val="undOvr"/>
                    <m:grow m:val="1"/>
                    <m:subHide m:val="off"/>
                    <m:supHide m:val="off"/>
                  </m:naryPr>
                  <m:sub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7</m:t>
                    </m:r>
                  </m:sup>
                  <m:e>
                    <m:sSub>
                      <m:e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π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j</m:t>
                        </m:r>
                      </m:sub>
                    </m:sSub>
                  </m:e>
                </m:nary>
                <m:r>
                  <w:rPr>
                    <w:rFonts w:ascii="Cambria Math" w:hAnsi="Cambria Math" w:cs="Cambria Math"/>
                    <w:sz w:val="24"/>
                    <w:szCs w:val="24"/>
                  </w:rPr>
                  <m:t>(</m:t>
                </m:r>
                <m:sSub>
                  <m:e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j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</w:rPr>
                  <m:t>)</m:t>
                </m:r>
              </m:oMath>
            </m:oMathPara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где </w:t>
            </w:r>
            <m:oMath>
              <m:sSub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π</m:t>
                  </m:r>
                </m:e>
                <m: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</w:rPr>
                <m:t>(</m:t>
              </m:r>
              <m:sSub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</w:rPr>
                <m:t>)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 — баллы </w:t>
            </w:r>
            <m:oMath>
              <m:r>
                <w:rPr>
                  <w:rFonts w:ascii="Cambria Math" w:hAnsi="Cambria Math" w:cs="Cambria Math"/>
                  <w:sz w:val="24"/>
                  <w:szCs w:val="24"/>
                </w:rPr>
                <m:t>j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-й характеристики скоринговой карты</w:t>
            </w:r>
          </w:p>
          <w:p>
            <w:pPr>
              <w:spacing w:after="0"/>
              <w:ind w:firstLine="0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Cambria Math"/>
                    <w:sz w:val="24"/>
                    <w:szCs w:val="24"/>
                  </w:rPr>
                  <m:t>PD</m:t>
                </m:r>
                <m:r>
                  <w:rPr>
                    <w:rFonts w:ascii="Cambria Math" w:hAnsi="Cambria Math" w:cs="Cambria Math"/>
                    <w:sz w:val="24"/>
                    <w:szCs w:val="24"/>
                  </w:rPr>
                  <m:t>=</m:t>
                </m:r>
                <m:f>
                  <m:fPr>
                    <m:type m:val="bar"/>
                  </m:fPr>
                  <m:num>
                    <m:argPr>
                      <m:scrLvl m:val="0"/>
                    </m:argPr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1</m:t>
                    </m:r>
                  </m:num>
                  <m:den>
                    <m:argPr>
                      <m:scrLvl m:val="0"/>
                    </m:argPr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1+50·</m:t>
                    </m:r>
                    <m:sSup>
                      <m:e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2</m:t>
                        </m:r>
                      </m:e>
                      <m:sup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(S−600)/20</m:t>
                        </m:r>
                      </m:sup>
                    </m:sSup>
                  </m:den>
                </m:f>
              </m:oMath>
            </m:oMathPara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 риска A — до 2 %, B — до 5 %, C — до 10 %, D — до 20 %, E — выше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С-9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Условия по классу риска: A — сумма 100 %, ставка без надбавки; B — 100 %, +1 п. п.; C — 80 %, +3 п. п.; D — 60 %, +6 п. п.; предельный ПДН — 80 % для A и B, 50 % для C и D; класс E — отказ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С-10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каждой оценки показываются три характеристики, сильнее всего повысившие риск, и три — снизившие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С-11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«Одобрить» или «Отказать»; если решение отличается от рекомендации, обоснование не короче 20 символов обязательно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П-7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С-12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Список заявок — по убыванию даты, с отбором по состоянию (на рассмотрении, одобрена, отклонена); карточка — анкета, сведения БКИ, оценка, факторы, решение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П-8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С-13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за 30–365 дней: число заявок, одобрений и одобренная сумма по классам риска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4.6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6|13"/>
      </w:tblPr>
      <w:tblGrid>
        <w:gridCol w:w="907"/>
        <w:gridCol w:w="7030"/>
        <w:gridCol w:w="1417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703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Системное требование</w:t>
            </w:r>
          </w:p>
        </w:tc>
        <w:tc>
          <w:tcPr>
            <w:tcW w:type="dxa" w:w="141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Связь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С-14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 продуктов: просмотр и добавление продукта (наименование, диапазоны суммы и срока, ставка)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С-15</w:t>
            </w:r>
          </w:p>
        </w:tc>
        <w:tc>
          <w:tcPr>
            <w:tcW w:type="dxa" w:w="703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Запуск файлом run.bat: создание окружения, установка пакетов из папки дистрибутива без интернета, создание базы с демонстрационными данными при первом запуске, открытие браузера</w:t>
            </w:r>
          </w:p>
        </w:tc>
        <w:tc>
          <w:tcPr>
            <w:tcW w:type="dxa" w:w="141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</w:t>
            </w:r>
          </w:p>
        </w:tc>
      </w:tr>
    </w:tbl>
    <w:p>
      <w:pPr>
        <w:spacing w:line="240" w:lineRule="auto"/>
      </w:pP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4.7 – Общие (нефункциональные) системные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7|0"/>
      </w:tblPr>
      <w:tblGrid>
        <w:gridCol w:w="1020"/>
        <w:gridCol w:w="8334"/>
      </w:tblGrid>
      <w:tr>
        <w:trPr>
          <w:cantSplit/>
          <w:tblHeader/>
        </w:trPr>
        <w:tc>
          <w:tcPr>
            <w:tcW w:type="dxa" w:w="10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833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архитектуре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Веб-приложение на одном компьютере: серверная часть Python (Flask), интерфейс в браузере, СУБД SQLite (один файл)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принимает подключения только с этого компьютера (127.0.0.1)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оборудования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Компьютер под Windows 10/11 x64, 2 ГБ свободной оперативной памяти, 200 МБ на диске; браузер последней версии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параметрам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заявки — не более 1 с; открытие страницы — не более 1 с при 10 000 заявок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Установка на новый компьютер без интернета — не более 10 минут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программному интерфейсу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Программный интерфейс для внешних систем не предусматривается; данные доступны в файле SQLite для выгрузки стандартными средствами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структуре системы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Модульность: правила оценки (модуль logic.py) отделены от обработчиков страниц (app.py) и работы с БД (db.py)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Р-2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Открытость: при росте Организации данные переносятся в полную редакцию системы</w:t>
            </w:r>
          </w:p>
        </w:tc>
      </w:tr>
      <w:tr>
        <w:trPr>
          <w:cantSplit/>
        </w:trPr>
        <w:tc>
          <w:tcPr>
            <w:tcW w:type="dxa" w:w="9354"/>
            <w:gridSpan w:val="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надёжности, безопасности и удобству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Резервная копия — копия файла creditdss.db; программа не теряет данные при закрытии окна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Хранение паролей в виде хэша; ключ подписи сессии создаётся случайным при первом запуске; данные не покидают компьютер Организации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У-1</w:t>
            </w:r>
          </w:p>
        </w:tc>
        <w:tc>
          <w:tcPr>
            <w:tcW w:type="dxa" w:w="833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Интерфейс на русском языке; формы и таблицы выровнены по центру страницы; обучение пользователя — не более 1 часа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Аттестация требований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Аттестация требований выполнялась с целью убедиться, что требования действительно определяют систему, которую хочет получить заказчик. Были выбраны следующие типы проверок: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правильности требований — каждое требование сопоставлено с потребностями конкретной точки зрения;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непротиворечивость — выявление требований, противоречащих друг другу;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полноту — каждому сервису из диаграммы идентификации точек зрения поставлено в соответствие хотя бы одно требование;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выполнимость — оценка возможности реализации требований с учётом бюджета, сроков и выбранных технологий;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проверка на проверяемость — для каждого требования определён способ его тестирования (критерий приёмки).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методов аттестации использовались обзор требований (совместный просмотр с представителями заказчика), прототипирование пользовательского интерфейса и генерация тестовых сценариев. Результаты аттестации приведены в таблице 4.8.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4.8 – Результаты аттестации требований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4.8|0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проверки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Выявленные замечания и принятые решения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Правильность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 требований с руководителем Организации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Уточнено С-9: для классов C и D снижается сумма, а не только повышается ставка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Непротиворечивость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Обзор, матрица трассировки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Требование «работа без интернета» (П-11) противоречило установке пакетов из сети — пакеты включены в дистрибутив (С-15)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Полнота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Сопоставление сервисов точек зрения с требованиями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сервиса «Причина отказа» точки зрения «Клиент» добавлено требование С-10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Выполнимость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Прототипирование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оценки на 150 демонстрационных заявках занял менее 0,1 с — требование П-1 выполнимо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Проверяемость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Генерация тестовых сценариев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Для С-6…С-9 подготовлены эталонные заявки с заранее рассчитанными ПДН, баллом и классом риска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Техническое задание на создание программного обеспечения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описания системы (практическая работа № 3), информационной модели, пользовательских и системных требований составлено техническое задание. Структура ТЗ соответствует ГОСТ 34.602-89 «Техническое задание на создание автоматизированной системы».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4.8.1 Общие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Полное наименование системы: информационная система поддержки принятия решений для оценки кредитоспособности физических лиц, базовая редакция. Краткое наименование: «Кредитный скоринг Базовая».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Заказчик: микрофинансовая организация (кредитный потребительский кооператив). Разработчик: группа разработки (3 человека).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Плановые сроки начала и окончания работ: 01.09.2026 — 31.12.2026.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Основания для разработки: решение руководителя Организации об автоматизации оценки заявок; учебный план дисциплины «Программная инженерия».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Источники финансирования: собственные средства заказчика; объём — не более 0,75 млн руб.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оформления и предъявления результатов: результаты предъявляются поэтапно; система устанавливается на компьютер заказчика и предъявляется для приёмочных испытаний.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4.8.2 Назначение и цели создания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Назначение: оценка кредитоспособности заёмщика и поддержка принятия решения по заявке на потребительский заём специалистом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Цели: оценка заявки за 5 минут после получения кредитного отчёта; единообразная методика; автоматический расчёт ПДН; сохранение истории решений и обоснований; работа без сервера и интернета.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4.8.3 Характеристика объекта автоматизации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автоматизации — процесс рассмотрения заявок на потребительские займы в Организации (1–2 специалиста, 10–20 заявок в день, один компьютер под Windows). Кредитный отчёт получается на веб-портале БКИ; учёт выданных займов ведётся в отдельной учётной программе.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4.8.4 Требования к системе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системе в целом: состав подсистем — по таблице 3.4 практической работы № 3; требования к архитектуре, параметрам и надёжности — по таблице 4.7.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функциям (задачам): по таблице 4.6.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к видам обеспечения: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математическое обеспечение — скоринговая карта из семи характеристик, перевод балла в PD по логистической шкале, пять стоп-факторов, расчёт ПДН с аннуитетным платежом;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информационное обеспечение — СУБД SQLite, схема по рисунку 4.3, один файл базы данных;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лингвистическое обеспечение — интерфейс и сообщения на русском языке; языки разработки Python, SQL, HTML;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программное обеспечение — по таблице 3.11 практической работы № 3;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техническое обеспечение — по требованию О-1;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организационное обеспечение — порядок рассмотрения заявки с использованием системы, порядок резервного копирования файла базы данных.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4.8.5 Состав и содержание работ по созданию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Работы выполняются по стадиям ГОСТ 34.601-90: формирование требований, техническое задание, технический проект (совмещён с эскизным), рабочая документация, ввод в действие. Календарный план приведён в практической работе № 9-10.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4.8.6 Порядок контроля и приёмки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Виды испытаний: предварительные испытания, опытная эксплуатация (1 неделя), приёмочные испытания. Критерии приёмки: выполнение требований высокого приоритета, совпадение оценок эталонных заявок с расчётными, установка на компьютер заказчика без интернета.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4.8.7 Требования к составу и содержанию работ по подготовке объекта автоматизации к вводу системы в действие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Заказчик обеспечивает: компьютер под Windows 10/11 с установленным Python 3.11 или новее, утверждение правил выдачи займов (стоп-факторы, условия по классам риска), обучение специалистов (до 1 часа), порядок копирования файла базы данных.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4.8.8 Требования к документированию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Разрабатываются: руководство пользователя, руководство по эксплуатации (установка, резервное копирование, восстановление), описание методики оценки. Документы оформляются в соответствии с ГОСТ 34.201-89 и РД 50-34.698-90.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4.8.9 Источники разработки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Отчёт об обследовании объекта автоматизации; описание системы и анализ осуществимости (практическая работа № 3); правила выдачи займов Организации; Федеральные законы № 151-ФЗ, 190-ФЗ, 152-ФЗ, 218-ФЗ, 353-ФЗ; ГОСТ 34.601-90, ГОСТ 34.602-89.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методом VORD идентифицированы шесть точек зрения на базовую редакцию системы и соответствующие им сервисы, построены диаграммы идентификации и иерархии точек зрения, выполнено документирование ключевых точек зрения, в том числе точки зрения «Эксплуатация без ИТ-специалиста», которая отличает базовую редакцию от полной.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Разработана информационная модель системы, совпадающая со схемой базы данных SQLite; на её основе сформулированы 11 пользовательских и 15 функциональных системных требований, а также требования к архитектуре, оборудованию, параметрам, структуре, надёжности и безопасности. Проведена аттестация требований, по её результатам требования скорректированы. Составлено техническое задание на создание системы в соответствии с ГОСТ 34.602-89.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02.07.2010 № 151-ФЗ «О микрофинансовой деятельности и микрофинансовых организациях».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18.07.2009 № 190-ФЗ «О кредитной кооперации».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Методические указания по выполнению практических работ по дисциплине «Программная инженерия». Части 1, 2. — Тула: ТулГУ.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