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ФУНКЦИОНАЛЬНОГО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5-6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Изучить методологии функционального моделирования IDEF0 и IDEF3.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 моделирования — процесс оценки кредитоспособности заёмщика в небольшой микрофинансовой организации или кредитном кооперативе с использованием базовой редакции системы «СППР оценки кредитоспособности», описанной в практической работе № 3 и требованиях практической работы № 4. Модель строится в нотации «как будет» (TO-BE) и отражает весь функционал базовой редакции: каждой функции соответствует по крайней мере один функциональный блок.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построена в нотации IDEF0 (контекстная диаграмма A-0 и диаграмма декомпозиции первого уровня A0) и в нотации IDEF3 (декомпозиция функциональных блоков диаграммы A0 до уровня отдельных операций с отображением логики их выполнения с помощью перекрёстков). Таким образом, модель содержит не менее трёх уровней.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Контекстная диаграмма A-0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(рисунок 5.1) содержит один функциональный блок, отражающий систему в целом, и определяет её границы: входные данные (заявка, согласие, кредитный отчёт), управляющие воздействия (правила выдачи займов, законодательство, требования Банка России), механизмы (специалист и программа) и результаты (решение, отчёт). Обмена с внешними системами нет: кредитный отчёт поступает на вход в виде документа, полученного специалистом на портале бюро.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 моделирования: описать функции процесса оценки заявки на заём с использованием системы, потоки данных между ними и правила их выполнения для проектирования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Точка зрения: руководитель Организации.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39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3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5.1 – Контекстная диаграмма A-0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стрелок контекстной диаграммы приведено в таблице 5.2.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5.2 – Стрелки контекстной диаграммы A-0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2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Паспортные данные, параметры займа, доход и стаж клиента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клиента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на обработку персональных данных и запрос кредитного отчёта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Отчёт, полученный специалистом на веб-портале бюро кредитных историй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выдачи займов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Кредитные продукты, стоп-факторы, условия по классам риска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152-ФЗ, 218-ФЗ, 353-ФЗ, 151-ФЗ, 190-ФЗ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Порядок расчёта показателя долговой нагрузки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заявку, вносит сведения, принимает решение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Программа «Кредитный скоринг Базовая»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Программа на компьютере Организации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 с суммой займа или отказ, обоснование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Заявки, одобрения и суммы по классам риска за период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Диаграмма декомпозиции A0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первого уровня A0 (рисунок 5.2) содержит пять функциональных блоков, выполняемых последовательно: выход каждого блока является входом следующего. Правила выдачи займов и требования к расчёту ПДН управляют блоком оценки A3.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8016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5.2 – Диаграмма декомпозиции первого уровня A0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 приведено в таблице 5.3.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5.3 – Функциональные блоки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3|0"/>
      </w:tblPr>
      <w:tblGrid>
        <w:gridCol w:w="907"/>
        <w:gridCol w:w="2608"/>
        <w:gridCol w:w="5839"/>
      </w:tblGrid>
      <w:tr>
        <w:trPr>
          <w:cantSplit/>
          <w:tblHeader/>
        </w:trPr>
        <w:tc>
          <w:tcPr>
            <w:tcW w:type="dxa" w:w="90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Функциональный блок</w:t>
            </w:r>
          </w:p>
        </w:tc>
        <w:tc>
          <w:tcPr>
            <w:tcW w:type="dxa" w:w="583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заявку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анкеты, параметров займа и согласия; проверка обязательных полей и диапазонов продукта; поиск клиента по паспорту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Внести сведения из кредитного отчёта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Перенос из отчёта БКИ платежей по кредитам, длины истории, просрочек и числа запросов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Оценить заявку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ПДН, балл скоринговой карты, PD, класс риска, рекомендация, условия и факторы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Одобрение или отказ; обоснование, если решение расходится с рекомендацией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отчёт</w:t>
            </w:r>
          </w:p>
        </w:tc>
        <w:tc>
          <w:tcPr>
            <w:tcW w:type="dxa" w:w="583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 заявок по классам риска за период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Потоки данных (стрелки) диаграммы A0 приведены в таблице 5.4.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5.4 – Потоки данных диаграммы A0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4|0"/>
      </w:tblPr>
      <w:tblGrid>
        <w:gridCol w:w="3061"/>
        <w:gridCol w:w="2041"/>
        <w:gridCol w:w="4252"/>
      </w:tblGrid>
      <w:tr>
        <w:trPr>
          <w:cantSplit/>
          <w:tblHeader/>
        </w:trPr>
        <w:tc>
          <w:tcPr>
            <w:tcW w:type="dxa" w:w="306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Стрелка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→ приёмник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и анкета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Согласие клиента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отчёт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Внести сведения из кредитного отчёта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Законодательство РФ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Банка России (ПДН)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выдачи займов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Специалист по займам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Принять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Программа «Кредитный скоринг Базовая»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Граница диаграммы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Решение по заявке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об одобрении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Подготовить отчёт → граница диаграммы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 анкетой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заявку → Внести сведения из кредитного отчёта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Заявка со сведениями БКИ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Внести сведения из кредитного отчёта → Оценить заявку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 и рекомендация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Оценить заявку → Принять решение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Заявки с решениями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 → вход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решение → Подготовить отчёт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Декомпозиция функциональных блоков в нотации IDEF3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описания логики выполнения процессов функциональные блоки диаграммы A0 декомпозированы в нотации IDEF3. На диаграммах IDEF3 используются единицы работы (UOW), связи предшествования (сплошные стрелки) и перекрёстки: «&amp;» — асинхронное «И» (все ветви выполняются), «X» — исключающее «ИЛИ» (выполняется ровно одна ветвь), «O» — «ИЛИ» (выполняется одна или несколько ветвей). Номер единицы работы указывается в левом нижнем углу блока.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Декомпозиция блока A1 «Принять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декомпозиции блока A1 (рисунок 5.3) показывает, что после ввода анкеты выполняются проверки: обязательные поля и формат паспорта, диапазоны суммы и срока продукта, наличие согласия клиента. Если хотя бы одна проверка не пройдена (перекрёсток «X» J1), специалист исправляет данные; иначе клиент ищется по паспорту и при отсутствии создаётся (перекрёсток «X» J2).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867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5.3 – Диаграмма IDEF3 декомпозиции блока A1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5.5 – Элементы диаграммы IDEF3 «Диаграмма IDEF3 декомпозиции блока A1»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5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Ввести анкету и параметры займа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ФИО, дата рождения, паспорт, телефон, продукт, сумма, срок, доход, стаж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поля, диапазоны и согласие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Серия паспорта — 4 цифры, номер — 6; сумма и срок в диапазоне продукта; отмечено согласие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ошибки / нет ошибок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Показать ошибки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Сообщения об ошибках, возврат к форме с введёнными данными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Найти клиента по паспорту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Поиск в таблице clients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J2, J3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найден / не найден и слияние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Создать клиента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нового клиента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Передать заявку на ввод сведений БКИ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 к блоку A2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Декомпозиция блока A3 «Оценить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На диаграмме декомпозиции блока A3 (рисунок 5.4) сначала рассчитывается ПДН (он нужен и для стоп-фактора, и для скоринговой карты), затем проверяются стоп-факторы. При срабатывании стоп-фактора (перекрёсток «X» J1) сразу формируется рекомендация «Отказать»; иначе рассчитываются балл, PD и класс риска, определяются рекомендация и условия и отбираются факторы. Результат в обеих ветвях сохраняется в заявке операцией 3.7.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867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5.4 – Диаграмма IDEF3 декомпозиции блока A3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5.6 – Элементы диаграммы IDEF3 «Диаграмма IDEF3 декомпозиции блока A3»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6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ПДН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(платежи по действующим кредитам + аннуитетный платёж по новому займу) / доход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Проверить стоп-факторы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Возраст &lt; 21; возраст на дату погашения &gt; 70; текущая просрочка; ПДН &gt; 80 %; доход &lt; 15 000 руб.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 сработал / не сработал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Рекомендовать отказ по стоп-фактору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Рекомендация «Отказать» с текстом стоп-фактора, балл не рассчитывается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балл, PD и класс риска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Балл скоринговой карты, PD по логистической шкале, класс A–E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Определить рекомендацию и условия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по классу риска: сумма, ставка, предельный ПДН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3.6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Отобрать факторы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Три характеристики, сильнее всего повысившие риск, и три — снизившие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Перекрёсток «X» (слияние)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Объединение ветвей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3.7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Сохранить оценку в заявке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Запись результата; заявка получает состояние «На рассмотрении»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Декомпозиция операции 3.4 «Рассчитать балл, PD и класс риска» (третий уровень)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Операция 3.4 декомпозирована на третьем уровне модели (рисунок 5.5). Для каждой из семи характеристик значение относится к интервалу и получает баллы; одновременно (перекрёсток «&amp;» J1) рассчитывается вклад характеристики — отклонение её баллов от середины диапазона. После суммирования баллов (перекрёсток слияния J2) балл переводится в вероятность дефолта, по которой присваивается класс риска.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06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5.5 – Диаграмма IDEF3 декомпозиции операции 3.4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элементов диаграммы приведено в таблице 5.7.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5.7 – Элементы диаграммы IDEF3 «Диаграмма IDEF3 декомпозиции операции 3.4»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7|0"/>
      </w:tblPr>
      <w:tblGrid>
        <w:gridCol w:w="964"/>
        <w:gridCol w:w="2721"/>
        <w:gridCol w:w="5669"/>
      </w:tblGrid>
      <w:tr>
        <w:trPr>
          <w:cantSplit/>
          <w:tblHeader/>
        </w:trPr>
        <w:tc>
          <w:tcPr>
            <w:tcW w:type="dxa" w:w="96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Номер</w:t>
            </w:r>
          </w:p>
        </w:tc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3.4.1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Определить интервал каждой характеристики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Возраст, стаж, доход, ПДН, длина кредитной истории, просрочки, запросы в БКИ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J1, J2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Перекрёстки «&amp;»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Параллельный расчёт суммы баллов и вклада характеристик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3.4.2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Сложить баллы</w:t>
            </w:r>
          </w:p>
        </w:tc>
        <w:tc>
          <w:tcPr>
            <w:tcW w:type="dxa" w:w="5669"/>
          </w:tcPr>
          <w:p>
            <w:pPr>
              <w:spacing w:after="0"/>
              <w:ind w:firstLine="0"/>
            </w:pPr>
            <w:r/>
            <m:oMathPara>
              <m:oMath>
                <m:r>
                  <w:rPr>
                    <w:rFonts w:ascii="Cambria Math" w:hAnsi="Cambria Math" w:cs="Cambria Math"/>
                    <w:sz w:val="24"/>
                    <w:szCs w:val="24"/>
                  </w:rPr>
                  <m:t>S=400+</m:t>
                </m:r>
                <m:nary>
                  <m:naryPr>
                    <m:chr m:val="∑"/>
                    <m:limLoc m:val="undOvr"/>
                    <m:grow m:val="1"/>
                    <m:subHide m:val="off"/>
                    <m:supHide m:val="on"/>
                  </m:naryPr>
                  <m: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j</m:t>
                    </m:r>
                  </m:sub>
                  <m:sup/>
                  <m:e>
                    <m:sSub>
                      <m:e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π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j</m:t>
                        </m:r>
                      </m:sub>
                    </m:sSub>
                  </m:e>
                </m:nary>
                <m:r>
                  <w:rPr>
                    <w:rFonts w:ascii="Cambria Math" w:hAnsi="Cambria Math" w:cs="Cambria Math"/>
                    <w:sz w:val="24"/>
                    <w:szCs w:val="24"/>
                  </w:rPr>
                  <m:t>(</m:t>
                </m:r>
                <m:sSub>
                  <m:e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j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</w:rPr>
                  <m:t>)</m:t>
                </m:r>
              </m:oMath>
            </m:oMathPara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3.4.3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Рассчитать вклад характеристик</w:t>
            </w:r>
          </w:p>
        </w:tc>
        <w:tc>
          <w:tcPr>
            <w:tcW w:type="dxa" w:w="5669"/>
          </w:tcPr>
          <w:p>
            <w:pPr>
              <w:spacing w:after="0"/>
              <w:ind w:firstLine="0"/>
            </w:pPr>
            <w:r/>
            <m:oMathPara>
              <m:oMath>
                <m:sSub>
                  <m:e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j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</w:rPr>
                  <m:t>=</m:t>
                </m:r>
                <m:sSub>
                  <m:e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π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j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</w:rPr>
                  <m:t>(</m:t>
                </m:r>
                <m:sSub>
                  <m:e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j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</w:rPr>
                  <m:t>)−</m:t>
                </m:r>
                <m:f>
                  <m:fPr>
                    <m:type m:val="bar"/>
                  </m:fPr>
                  <m:num>
                    <m:argPr>
                      <m:scrLvl m:val="0"/>
                    </m:argPr>
                    <m:sSub>
                      <m:e>
                        <m:argPr>
                          <m:scrLvl m:val="0"/>
                        </m:argPr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min</m:t>
                        </m:r>
                      </m:e>
                      <m:sub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sSub>
                      <m:e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π</m:t>
                        </m:r>
                      </m:e>
                      <m:sub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jk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+</m:t>
                    </m:r>
                    <m:sSub>
                      <m:e>
                        <m:argPr>
                          <m:scrLvl m:val="0"/>
                        </m:argPr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max</m:t>
                        </m:r>
                      </m:e>
                      <m:sub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  <m:sSub>
                      <m:e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π</m:t>
                        </m:r>
                      </m:e>
                      <m:sub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jk</m:t>
                        </m:r>
                      </m:sub>
                    </m:sSub>
                  </m:num>
                  <m:den>
                    <m:argPr>
                      <m:scrLvl m:val="0"/>
                    </m:argPr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2</m:t>
                    </m:r>
                  </m:den>
                </m:f>
              </m:oMath>
            </m:oMathPara>
          </w:p>
          <w:p>
            <w:pPr>
              <w:widowControl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 отклонение от середины диапазона баллов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3.4.4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Перевести балл в PD</w:t>
            </w:r>
          </w:p>
        </w:tc>
        <w:tc>
          <w:tcPr>
            <w:tcW w:type="dxa" w:w="5669"/>
          </w:tcPr>
          <w:p>
            <w:pPr>
              <w:spacing w:after="0"/>
              <w:ind w:firstLine="0"/>
            </w:pPr>
            <w:r/>
            <m:oMathPara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  <w:sz w:val="24"/>
                    <w:szCs w:val="24"/>
                  </w:rPr>
                  <m:t>PD</m:t>
                </m:r>
                <m:r>
                  <w:rPr>
                    <w:rFonts w:ascii="Cambria Math" w:hAnsi="Cambria Math" w:cs="Cambria Math"/>
                    <w:sz w:val="24"/>
                    <w:szCs w:val="24"/>
                  </w:rPr>
                  <m:t>=</m:t>
                </m:r>
                <m:f>
                  <m:fPr>
                    <m:type m:val="bar"/>
                  </m:fPr>
                  <m:num>
                    <m:argPr>
                      <m:scrLvl m:val="0"/>
                    </m:argPr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1</m:t>
                    </m:r>
                  </m:num>
                  <m:den>
                    <m:argPr>
                      <m:scrLvl m:val="0"/>
                    </m:argPr>
                    <m:r>
                      <w:rPr>
                        <w:rFonts w:ascii="Cambria Math" w:hAnsi="Cambria Math" w:cs="Cambria Math"/>
                        <w:sz w:val="24"/>
                        <w:szCs w:val="24"/>
                      </w:rPr>
                      <m:t>1+50·</m:t>
                    </m:r>
                    <m:sSup>
                      <m:e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2</m:t>
                        </m:r>
                      </m:e>
                      <m:sup>
                        <m:argPr>
                          <m:scrLvl m:val="0"/>
                        </m:argPr>
                        <m:r>
                          <w:rPr>
                            <w:rFonts w:ascii="Cambria Math" w:hAnsi="Cambria Math" w:cs="Cambria Math"/>
                            <w:sz w:val="24"/>
                            <w:szCs w:val="24"/>
                          </w:rPr>
                          <m:t>(S−600)/20</m:t>
                        </m:r>
                      </m:sup>
                    </m:sSup>
                  </m:den>
                </m:f>
              </m:oMath>
            </m:oMathPara>
          </w:p>
        </w:tc>
      </w:tr>
      <w:tr>
        <w:trPr>
          <w:cantSplit/>
        </w:trPr>
        <w:tc>
          <w:tcPr>
            <w:tcW w:type="dxa" w:w="96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3.4.5</w:t>
            </w:r>
          </w:p>
        </w:tc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Присвоить класс риска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 — PD &lt; 2 %, B — &lt; 5 %, C — &lt; 10 %, D — &lt; 20 %, E — остальные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Хранилища данных и внешние объекты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Хранилища данных, используемые в модели, и внешние по отношению к системе объекты приведены в таблице 5.8.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5.8 – Хранилища данных и внешние объекты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0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Файл базы данных creditdss.db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Таблицы users, products, clients, applications (СУБД SQLite)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кредитных продуктов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Таблица products: диапазоны суммы и срока, ставка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Правила оценки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Хранилище данных (в коде программы)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Стоп-факторы, скоринговая карта, классы риска, условия — модуль logic.py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5.8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5.8|3"/>
      </w:tblPr>
      <w:tblGrid>
        <w:gridCol w:w="2608"/>
        <w:gridCol w:w="1701"/>
        <w:gridCol w:w="5046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</w:t>
            </w:r>
          </w:p>
        </w:tc>
        <w:tc>
          <w:tcPr>
            <w:tcW w:type="dxa" w:w="504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Портал бюро кредитных историй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кредитного отчёта (специалист работает с ним в браузере)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Внешний объект</w:t>
            </w:r>
          </w:p>
        </w:tc>
        <w:tc>
          <w:tcPr>
            <w:tcW w:type="dxa" w:w="504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 анкеты и согласия, получатель решения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методологии функционального моделирования IDEF0 и IDEF3 и построена функциональная модель базовой редакции системы поддержки принятия решений для оценки кредитоспособности физических лиц. Модель включает три уровня: контекстную диаграмму A-0, диаграмму декомпозиции A0 с пятью функциональными блоками, диаграммы IDEF3 второго уровня для блоков A1 и A3 и диаграмму третьего уровня для операции 3.4.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отражает весь функционал базовой редакции, потоки данных и правила их движения, в том числе ветвление процесса по результатам проверок и стоп-факторов. Описаны функциональные блоки, потоки данных, хранилища и внешние объекты.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02.07.2010 № 151-ФЗ «О микрофинансовой деятельности и микрофинансовых организациях».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18.07.2009 № 190-ФЗ «О кредитной кооперации».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Р 50.1.028-2001. Информационные технологии поддержки жизненного цикла продукции. Методология функционального моделирования. — М.: Госстандарт России, 2001.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14. Маклаков С. В. Моделирование бизнес-процессов с AllFusion Process Modeler (BPwin 4.1). — М.: Диалог-МИФИ, 2004. — 240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