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 оценки кредитоспособности физических лиц в отделе розничного кредитования Банка с использованием системы «СППР оценки кредитоспособности», описанной в практической работе № 3 и требованиях практической работы № 4. Модель строится в нотации «как будет» (TO-BE) и отражает весь функционал системы: каждой функции из описания системы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входные данные (заявка и документы клиента, кредитный отчёт), управляющие воздействия (кредитная политика, законодательство, требования Банка России), механизмы (сотрудники и программно-аппаратный комплекс) и результаты.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процесса оценки кредитоспособности заёмщика с использованием СППР, потоки данных между ними и правила их выполнения для проектирования программного обеспечения системы.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руководитель отдела розничного кредитования.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39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3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Заявление клиента на получение кредита, анкетные данные, сведения о доходах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Копии паспорта, справки о доходах, согласия на обработку ПДн и запрос в БКИ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кредитной истории заёмщика, полученные из бюро кредитных историй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Кредитная политика Банка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Кредитные продукты, стоп-факторы, лимиты полномочий, матрица условий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152-ФЗ, 218-ФЗ, 353-ФЗ — требования к обработке данных и кредитованию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Порядок расчёта показателя долговой нагрузки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Регистрирует заявку, взаимодействует с клиентом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решение по заявке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Разрабатывает и контролирует модели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СППР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Программно-аппаратный комплекс системы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 (с условиями: сумма, срок, ставка) или отказ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Сообщение клиенту о результате рассмотрения заявки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в БКИ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кредитного отчёта, направляемый в бюро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качестве модели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Метрики качества и стабильности скоринговой модели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блоков. Выход каждого блока используется последующими блоками как вход; обратная связь по управлению от блока A5 к блоку A3 отражает публикацию утверждённой версии модели, которая определяет порядок расчёта оценки.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и зарегистрировать заявку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 и документов, проверка полноты, фиксация согласий клиента, регистрация заявки в системе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и верифицировать данные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кредитного отчёта в БКИ, получение данных из АБС, проверка паспорта и стоп-листов, формирование кредитного досье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скоринговую оценку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формирование признаков, расчёт вероятности дефолта ML-моделью и ПДН, формирование рекомендации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рекомендации андеррайтером, принятие решения в пределах полномочий или передача на кредитный комитет, уведомление клиента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Контролировать качество модели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Мониторинг метрик качества и стабильности модели, переобучение и публикация новой версии модели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Собрать и верифицировать данные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Рассчитать скоринговую оценку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Кредитная политика Банка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решение по заявке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СППР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Собрать и верифицировать данные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решение по заявке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Контролировать качество модели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в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и верифицировать данные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качестве модели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Контролировать качество модели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Зарегистрированная заявка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и зарегистрировать заявку → Собрать и верифицировать данные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Кредитное досье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и верифицировать данные → Рассчитать скоринговую оценку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и рекомендация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скоринговую оценку → Принять решение по заявке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решений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→ Контролировать качество модели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Утверждённая модель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Контролировать качество модели → Рассчитать скоринговую оценку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A2 «Собрать и верифицировать данные»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A2 (рисунок 5.3) показывает, что после проверки полноты анкеты три проверки выполняются параллельно (асинхронный перекрёсток «И» J1): запрос кредитного отчёта в БКИ, проверка паспорта и стоп-листов, получение данных из АБС. Сборка досье начинается только после завершения всех трёх проверок (перекрёсток слияния J2).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7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A2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A2»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полноту и корректность анкеты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обязательных полей, форматов и диапазонов; проверка наличия согласий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«&amp;» (разветвление)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Запуск трёх параллельных проверок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кредитный отчёт в БКИ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запроса по API бюро, получение и разбор отчёта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паспорт и стоп-листы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действительности паспорта, списков Росфинмониторинга и внутренних стоп-листов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4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данные из АБС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Счета, зарплатные поступления, действующие кредиты клиента в Банке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«&amp;» (слияние)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Ожидание завершения всех проверок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кредитное досье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Объединение данных анкеты, отчёта БКИ и АБС в досье заявки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A3 «Рассчитать скоринговую оценку»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A3 (рисунок 5.4) после проверки стоп-факторов выполняется ветвление по исключающему «ИЛИ» (J1): при срабатывании стоп-фактора сразу формируется отказ, иначе формируются признаки, после чего параллельно рассчитываются вероятность дефолта и показатель долговой нагрузки. Результат в обеих ветвях сохраняется операцией 3.7.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1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стоп-факторы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правил кредитной политики (возраст, гражданство, текущая просрочка, банкротство и т. п.)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 (разветвление)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Выбор ветви: сработал стоп-фактор / не сработал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отказ по стоп-фактору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Рекомендация «Отказ» с кодом стоп-фактора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признаки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признаков анкеты и кредитной истории для модели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J2, J3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расчёт PD и ПДН и ожидание их завершения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5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PD моделью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Применение опубликованной версии модели, расчёт вероятности дефолта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ПДН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 среднемесячных платежей к среднемесячному доходу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рекомендацию и объяснение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 риска, рекомендация, условия кредита, факторы SHAP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 (слияние)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Объединение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Сохранить результат скоринга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результата в БД и передача заявки на рассмотрение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3.4 «Рассчитать PD моделью машинного обучения»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3.4 декомпозирована на третьем уровне модели (рисунок 5.5). После загрузки опубликованной версии модели и предобработки признаков выполняется расчёт вероятности дефолта; если версия модели поддерживает объяснения, параллельно с присвоением класса риска рассчитывается вклад факторов (перекрёсток «ИЛИ» J1 — выполняется одна или обе ветви).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06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3.4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3.4»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Загрузить опубликованную версию модели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Получение артефакта модели из реестра моделей (кэшируется в памяти сервиса)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1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Выполнить предобработку признаков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Заполнение пропусков, кодирование категорий, WoE-преобразование по схеме модели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Вычислить вероятность дефолта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PD и скорингового балла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«O»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Выполнение одной или обеих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Присвоить класс риска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Отнесение к классу A–E по порогам PD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вклад факторов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Значения Шепли для признаков заявки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 заявок и клиентов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анкеты, согласия, документы, решения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кредитных отчётов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Полученные из БКИ кредитные отчёты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моделей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Версии моделей, их метрики и статусы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кредитной политики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Продукты, стоп-факторы, лимиты полномочий, матрица условий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кредитных отчётов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Банка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данных о счетах и доходах, приёмник одобренных заявок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заявки, получатель уведомления о решении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системы поддержки принятия решений для оценки кредитоспособности физических лиц.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A2 и A3 (5 и 7 единиц работы соответственно) и диаграмму третьего уровня для операции 3.4 (5 единиц работы).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описанный функционал системы, существующие потоки данных и правила их движения, в том числе параллельное выполнение проверок и ветвление процесса по результатам проверки стоп-факторов. Описаны функциональные блоки, потоки данных, хранилища и внешние объекты.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