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Министерство науки и высшего образования РФ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«Тульский государственный университет»</w:t>
      </w:r>
    </w:p>
    <w:p>
      <w:pPr>
        <w:spacing w:line="276" w:lineRule="auto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Институт прикладной математики и компьютерных наук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МЕТОДИКА УПРАВЛЕНИЯ ПРОЕКТАМИ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Отчет по выполнению практической работы № 9-10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 курсу «</w:t>
      </w:r>
      <w:r>
        <w:rPr>
          <w:rFonts w:ascii="Times New Roman" w:hAnsi="Times New Roman" w:cs="Times New Roman" w:eastAsia="Times New Roman"/>
          <w:b/>
          <w:i w:val="0"/>
          <w:sz w:val="28"/>
        </w:rPr>
        <w:t>Программная инженерия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Тема: «Разработка информационной системы поддержки принятия решений для оценки кредитоспособности физических лиц»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Выполнил ст. гр. </w:t>
      </w:r>
      <w:r>
        <w:rPr>
          <w:rFonts w:ascii="Times New Roman" w:hAnsi="Times New Roman" w:cs="Times New Roman" w:eastAsia="Times New Roman"/>
          <w:b w:val="0"/>
          <w:i/>
          <w:sz w:val="28"/>
        </w:rPr>
        <w:t>_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_</w:t>
        <w:tab/>
        <w:t>Фамилия И. О.</w:t>
      </w: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Проверил преп.</w:t>
        <w:tab/>
        <w:t>Лисняк М. В.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keepNext w:val="0"/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Тула 2026</w:t>
      </w:r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1 Цель работы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Изучение методики управления проектами. Получение навыков по применению данной методики для планирования проекта.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2 Введение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Объект планирования — проект создания системы «СППР оценки кредитоспособности» (практические работы № 3–8). Модель управления проектом включает определение этапов и их зависимостей, построение сетевой и временной диаграмм, распределение участников группы по этапам и управление рисками проекта.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Срок реализации проекта — с 01.09.2026 по 31.12.2026. В проекте задействованы три человека (группа разработчиков): руководитель проекта – разработчик (РП), системный аналитик – разработчик (СА) и тестер – разработчик (ТР). Длительности этапов указаны в календарных днях.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3 Программно-аппаратные средства, используемые при выполнении работы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9.1 – Программно-аппаратные средства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9.1|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Средство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Характеристика и назначение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Персональный компьютер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Процессор x86-64 (4 ядра, 3,0 ГГц), ОЗУ 16 ГБ, SSD 512 ГБ, монитор 24″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Операционная система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Windows 11 Pro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Текстовый редактор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Word 2021 — оформление отчёта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Средства моделирования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PlantUML, Python 3.12 (matplotlib) — построение схем и диаграмм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Справочно-правовые системы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«Гарант», «КонсультантПлюс» — нормативная база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контроля версий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Git, GitHub — хранение материалов проекта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4 Основная часть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4.1 Определение этапов проекта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Проект разбит на этапы, каждый из которых завершается контрольной точкой (результатом). При определении этапов указаны их длительность и зависимости — этапы, которые должны быть завершены до начала данного этапа (таблица 9.2).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9.2 – Этапы проекта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9.2|0"/>
      </w:tblPr>
      <w:tblGrid>
        <w:gridCol w:w="737"/>
        <w:gridCol w:w="5783"/>
        <w:gridCol w:w="1361"/>
        <w:gridCol w:w="1474"/>
      </w:tblGrid>
      <w:tr>
        <w:trPr>
          <w:cantSplit/>
          <w:tblHeader/>
        </w:trPr>
        <w:tc>
          <w:tcPr>
            <w:tcW w:type="dxa" w:w="73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Этап</w:t>
            </w:r>
          </w:p>
        </w:tc>
        <w:tc>
          <w:tcPr>
            <w:tcW w:type="dxa" w:w="5783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Наименование (результат)</w:t>
            </w:r>
          </w:p>
        </w:tc>
        <w:tc>
          <w:tcPr>
            <w:tcW w:type="dxa" w:w="136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Длительность, дн.</w:t>
            </w:r>
          </w:p>
        </w:tc>
        <w:tc>
          <w:tcPr>
            <w:tcW w:type="dxa" w:w="147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Зависимости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T1</w:t>
            </w:r>
          </w:p>
        </w:tc>
        <w:tc>
          <w:tcPr>
            <w:tcW w:type="dxa" w:w="578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Обследование объекта и формирование требований пользователей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(результат: отчёт об обследовании)</w:t>
            </w:r>
          </w:p>
        </w:tc>
        <w:tc>
          <w:tcPr>
            <w:tcW w:type="dxa" w:w="13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14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T2</w:t>
            </w:r>
          </w:p>
        </w:tc>
        <w:tc>
          <w:tcPr>
            <w:tcW w:type="dxa" w:w="578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и утверждение технического задания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(результат: утверждённое ТЗ)</w:t>
            </w:r>
          </w:p>
        </w:tc>
        <w:tc>
          <w:tcPr>
            <w:tcW w:type="dxa" w:w="13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10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T1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T3</w:t>
            </w:r>
          </w:p>
        </w:tc>
        <w:tc>
          <w:tcPr>
            <w:tcW w:type="dxa" w:w="578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Подготовка и анализ данных для модели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(результат: очищенная обучающая выборка)</w:t>
            </w:r>
          </w:p>
        </w:tc>
        <w:tc>
          <w:tcPr>
            <w:tcW w:type="dxa" w:w="13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16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T2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T4</w:t>
            </w:r>
          </w:p>
        </w:tc>
        <w:tc>
          <w:tcPr>
            <w:tcW w:type="dxa" w:w="578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Проектирование архитектуры и базы данных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(результат: технический проект)</w:t>
            </w:r>
          </w:p>
        </w:tc>
        <w:tc>
          <w:tcPr>
            <w:tcW w:type="dxa" w:w="13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12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T2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T5</w:t>
            </w:r>
          </w:p>
        </w:tc>
        <w:tc>
          <w:tcPr>
            <w:tcW w:type="dxa" w:w="578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Проектирование пользовательского интерфейса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(результат: макеты экранов)</w:t>
            </w:r>
          </w:p>
        </w:tc>
        <w:tc>
          <w:tcPr>
            <w:tcW w:type="dxa" w:w="13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10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T2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T6</w:t>
            </w:r>
          </w:p>
        </w:tc>
        <w:tc>
          <w:tcPr>
            <w:tcW w:type="dxa" w:w="578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и обучение скоринговой модели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(результат: валидированная модель)</w:t>
            </w:r>
          </w:p>
        </w:tc>
        <w:tc>
          <w:tcPr>
            <w:tcW w:type="dxa" w:w="13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24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T3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T7</w:t>
            </w:r>
          </w:p>
        </w:tc>
        <w:tc>
          <w:tcPr>
            <w:tcW w:type="dxa" w:w="578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серверной части и интеграций с БКИ и АБС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(результат: серверные сервисы)</w:t>
            </w:r>
          </w:p>
        </w:tc>
        <w:tc>
          <w:tcPr>
            <w:tcW w:type="dxa" w:w="13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32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T4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T8</w:t>
            </w:r>
          </w:p>
        </w:tc>
        <w:tc>
          <w:tcPr>
            <w:tcW w:type="dxa" w:w="578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клиентской части (интерфейса АРМ)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(результат: веб-интерфейс)</w:t>
            </w:r>
          </w:p>
        </w:tc>
        <w:tc>
          <w:tcPr>
            <w:tcW w:type="dxa" w:w="13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24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T4, T5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T9</w:t>
            </w:r>
          </w:p>
        </w:tc>
        <w:tc>
          <w:tcPr>
            <w:tcW w:type="dxa" w:w="578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Интеграция модели в систему (сервис скоринга)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(результат: сервис скоринга)</w:t>
            </w:r>
          </w:p>
        </w:tc>
        <w:tc>
          <w:tcPr>
            <w:tcW w:type="dxa" w:w="13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10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T6, T7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T10</w:t>
            </w:r>
          </w:p>
        </w:tc>
        <w:tc>
          <w:tcPr>
            <w:tcW w:type="dxa" w:w="578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Комплексное тестирование системы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(результат: протоколы испытаний)</w:t>
            </w:r>
          </w:p>
        </w:tc>
        <w:tc>
          <w:tcPr>
            <w:tcW w:type="dxa" w:w="13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16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T8, T9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T11</w:t>
            </w:r>
          </w:p>
        </w:tc>
        <w:tc>
          <w:tcPr>
            <w:tcW w:type="dxa" w:w="578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эксплуатационной документации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(результат: комплект документации)</w:t>
            </w:r>
          </w:p>
        </w:tc>
        <w:tc>
          <w:tcPr>
            <w:tcW w:type="dxa" w:w="13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10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T9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T12</w:t>
            </w:r>
          </w:p>
        </w:tc>
        <w:tc>
          <w:tcPr>
            <w:tcW w:type="dxa" w:w="578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Опытная эксплуатация и приёмочные испытания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(результат: акт приёмки)</w:t>
            </w:r>
          </w:p>
        </w:tc>
        <w:tc>
          <w:tcPr>
            <w:tcW w:type="dxa" w:w="13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14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T10, T11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 Сетевая диаграмма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На основе данных таблицы 9.2 построена сетевая диаграмма проекта (рисунок 9.1). В каждом узле указаны код этапа, длительность, даты начала и окончания и резерв времени R (в днях). Утолщёнными линиями выделены этапы и связи критического пути.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564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m_networ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64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9.1 – Сетевая диаграмма проекта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Критический путь проекта: T1 → T2 → T4 → T7 → T9 → T10 → T12. Его длительность составляет 108 дней; плановая дата завершения работ — 17.12.2026, что укладывается в установленный срок (до 31.12.2026). Задержка любого этапа критического пути приводит к задержке завершения проекта, поэтому именно эти этапы находятся под приоритетным контролем руководителя проекта.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Расчётные параметры сетевого графика приведены в таблице 9.3.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9.3 – Параметры сетевого графика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9.3|0"/>
      </w:tblPr>
      <w:tblGrid>
        <w:gridCol w:w="907"/>
        <w:gridCol w:w="1701"/>
        <w:gridCol w:w="1701"/>
        <w:gridCol w:w="1701"/>
        <w:gridCol w:w="1701"/>
        <w:gridCol w:w="1644"/>
      </w:tblGrid>
      <w:tr>
        <w:trPr>
          <w:cantSplit/>
          <w:tblHeader/>
        </w:trPr>
        <w:tc>
          <w:tcPr>
            <w:tcW w:type="dxa" w:w="90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Этап</w:t>
            </w:r>
          </w:p>
        </w:tc>
        <w:tc>
          <w:tcPr>
            <w:tcW w:type="dxa" w:w="170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Раннее начало</w:t>
            </w:r>
          </w:p>
        </w:tc>
        <w:tc>
          <w:tcPr>
            <w:tcW w:type="dxa" w:w="170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Раннее окончание</w:t>
            </w:r>
          </w:p>
        </w:tc>
        <w:tc>
          <w:tcPr>
            <w:tcW w:type="dxa" w:w="170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Позднее начало</w:t>
            </w:r>
          </w:p>
        </w:tc>
        <w:tc>
          <w:tcPr>
            <w:tcW w:type="dxa" w:w="170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Позднее окончание</w:t>
            </w:r>
          </w:p>
        </w:tc>
        <w:tc>
          <w:tcPr>
            <w:tcW w:type="dxa" w:w="164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Резерв, дн.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T1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01.09.2026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14.09.2026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01.09.2026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14.09.2026</w:t>
            </w:r>
          </w:p>
        </w:tc>
        <w:tc>
          <w:tcPr>
            <w:tcW w:type="dxa" w:w="164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T2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15.09.2026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24.09.2026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15.09.2026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24.09.2026</w:t>
            </w:r>
          </w:p>
        </w:tc>
        <w:tc>
          <w:tcPr>
            <w:tcW w:type="dxa" w:w="164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T3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25.09.2026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10.10.2026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29.09.2026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14.10.2026</w:t>
            </w:r>
          </w:p>
        </w:tc>
        <w:tc>
          <w:tcPr>
            <w:tcW w:type="dxa" w:w="164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T4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25.09.2026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06.10.2026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25.09.2026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06.10.2026</w:t>
            </w:r>
          </w:p>
        </w:tc>
        <w:tc>
          <w:tcPr>
            <w:tcW w:type="dxa" w:w="164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T5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25.09.2026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04.10.2026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15.10.2026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24.10.2026</w:t>
            </w:r>
          </w:p>
        </w:tc>
        <w:tc>
          <w:tcPr>
            <w:tcW w:type="dxa" w:w="164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20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11.10.2026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03.11.2026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15.10.2026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07.11.2026</w:t>
            </w:r>
          </w:p>
        </w:tc>
        <w:tc>
          <w:tcPr>
            <w:tcW w:type="dxa" w:w="164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T7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07.10.2026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07.11.2026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07.10.2026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07.11.2026</w:t>
            </w:r>
          </w:p>
        </w:tc>
        <w:tc>
          <w:tcPr>
            <w:tcW w:type="dxa" w:w="164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T8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07.10.2026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30.10.2026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25.10.2026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17.11.2026</w:t>
            </w:r>
          </w:p>
        </w:tc>
        <w:tc>
          <w:tcPr>
            <w:tcW w:type="dxa" w:w="164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18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T9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08.11.2026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17.11.2026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08.11.2026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17.11.2026</w:t>
            </w:r>
          </w:p>
        </w:tc>
        <w:tc>
          <w:tcPr>
            <w:tcW w:type="dxa" w:w="164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T10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18.11.2026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03.12.2026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18.11.2026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03.12.2026</w:t>
            </w:r>
          </w:p>
        </w:tc>
        <w:tc>
          <w:tcPr>
            <w:tcW w:type="dxa" w:w="164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T11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18.11.2026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27.11.2026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24.11.2026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03.12.2026</w:t>
            </w:r>
          </w:p>
        </w:tc>
        <w:tc>
          <w:tcPr>
            <w:tcW w:type="dxa" w:w="164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T12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04.12.2026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17.12.2026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04.12.2026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17.12.2026</w:t>
            </w:r>
          </w:p>
        </w:tc>
        <w:tc>
          <w:tcPr>
            <w:tcW w:type="dxa" w:w="164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4.3 Временная диаграмма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Временная диаграмма (диаграмма Ганта) проекта представлена на рисунке 9.2. Тёмным цветом выделены этапы критического пути, белым — этапы, имеющие резерв времени; заштрихованная область показывает величину допустимой задержки этапа.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286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m_gant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8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9.2 – Временная диаграмма проекта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4.4 Распределение участников группы по этапам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Распределение исполнителей по этапам приведено в таблице 9.4.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9.4 – Распределение исполнителей по этапам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9.4|0"/>
      </w:tblPr>
      <w:tblGrid>
        <w:gridCol w:w="794"/>
        <w:gridCol w:w="6293"/>
        <w:gridCol w:w="2268"/>
      </w:tblGrid>
      <w:tr>
        <w:trPr>
          <w:cantSplit/>
          <w:tblHeader/>
        </w:trPr>
        <w:tc>
          <w:tcPr>
            <w:tcW w:type="dxa" w:w="79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Этап</w:t>
            </w:r>
          </w:p>
        </w:tc>
        <w:tc>
          <w:tcPr>
            <w:tcW w:type="dxa" w:w="6293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Наименование</w:t>
            </w:r>
          </w:p>
        </w:tc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Исполнители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T1</w:t>
            </w:r>
          </w:p>
        </w:tc>
        <w:tc>
          <w:tcPr>
            <w:tcW w:type="dxa" w:w="629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Обследование объекта и формирование требований пользователей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РП, СА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T2</w:t>
            </w:r>
          </w:p>
        </w:tc>
        <w:tc>
          <w:tcPr>
            <w:tcW w:type="dxa" w:w="629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и утверждение технического задания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РП, СА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T3</w:t>
            </w:r>
          </w:p>
        </w:tc>
        <w:tc>
          <w:tcPr>
            <w:tcW w:type="dxa" w:w="629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Подготовка и анализ данных для модели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СА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T4</w:t>
            </w:r>
          </w:p>
        </w:tc>
        <w:tc>
          <w:tcPr>
            <w:tcW w:type="dxa" w:w="629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Проектирование архитектуры и базы данных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РП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T5</w:t>
            </w:r>
          </w:p>
        </w:tc>
        <w:tc>
          <w:tcPr>
            <w:tcW w:type="dxa" w:w="629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Проектирование пользовательского интерфейса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T6</w:t>
            </w:r>
          </w:p>
        </w:tc>
        <w:tc>
          <w:tcPr>
            <w:tcW w:type="dxa" w:w="629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и обучение скоринговой модели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СА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T7</w:t>
            </w:r>
          </w:p>
        </w:tc>
        <w:tc>
          <w:tcPr>
            <w:tcW w:type="dxa" w:w="629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серверной части и интеграций с БКИ и АБС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РП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T8</w:t>
            </w:r>
          </w:p>
        </w:tc>
        <w:tc>
          <w:tcPr>
            <w:tcW w:type="dxa" w:w="629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клиентской части (интерфейса АРМ)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T9</w:t>
            </w:r>
          </w:p>
        </w:tc>
        <w:tc>
          <w:tcPr>
            <w:tcW w:type="dxa" w:w="629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Интеграция модели в систему (сервис скоринга)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СА, РП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T10</w:t>
            </w:r>
          </w:p>
        </w:tc>
        <w:tc>
          <w:tcPr>
            <w:tcW w:type="dxa" w:w="629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Комплексное тестирование системы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ТР, СА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T11</w:t>
            </w:r>
          </w:p>
        </w:tc>
        <w:tc>
          <w:tcPr>
            <w:tcW w:type="dxa" w:w="629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эксплуатационной документации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РП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T12</w:t>
            </w:r>
          </w:p>
        </w:tc>
        <w:tc>
          <w:tcPr>
            <w:tcW w:type="dxa" w:w="629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Опытная эксплуатация и приёмочные испытания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РП, СА, ТР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На основании таблицы 9.4 построена временная диаграмма занятости участников группы (рисунок 9.3). Участники заняты в проекте не всё время его реализации: в периоды, свободные от работ по проекту, они выполняют задачи сопровождения, проходят обучение или прорабатывают документацию для последующих этапов.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534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m_peop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9.3 – Временная диаграмма распределения участников по этапам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4.5 Список возможных рисков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Возможные риски проекта с указанием названия, типа (риск для проекта, риск для продукта, бизнес-риск) и описания приведены в таблице 9.5.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9.5 – Возможные риски проекта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9.5|0"/>
      </w:tblPr>
      <w:tblGrid>
        <w:gridCol w:w="2551"/>
        <w:gridCol w:w="1814"/>
        <w:gridCol w:w="4989"/>
      </w:tblGrid>
      <w:tr>
        <w:trPr>
          <w:cantSplit/>
          <w:tblHeader/>
        </w:trPr>
        <w:tc>
          <w:tcPr>
            <w:tcW w:type="dxa" w:w="255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</w:t>
            </w:r>
          </w:p>
        </w:tc>
        <w:tc>
          <w:tcPr>
            <w:tcW w:type="dxa" w:w="181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Тип риска</w:t>
            </w:r>
          </w:p>
        </w:tc>
        <w:tc>
          <w:tcPr>
            <w:tcW w:type="dxa" w:w="498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 риска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Низкое качество исторических данных</w:t>
            </w:r>
          </w:p>
        </w:tc>
        <w:tc>
          <w:tcPr>
            <w:tcW w:type="dxa" w:w="181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 для продукта</w:t>
            </w:r>
          </w:p>
        </w:tc>
        <w:tc>
          <w:tcPr>
            <w:tcW w:type="dxa" w:w="498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Пропуски, ошибки и несогласованность данных о заявках и обслуживании кредитов снижают точность модели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Смещение обучающей выборки</w:t>
            </w:r>
          </w:p>
        </w:tc>
        <w:tc>
          <w:tcPr>
            <w:tcW w:type="dxa" w:w="181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 для продукта</w:t>
            </w:r>
          </w:p>
        </w:tc>
        <w:tc>
          <w:tcPr>
            <w:tcW w:type="dxa" w:w="498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Исход известен только по одобренным заявкам, модель может неверно оценивать новые сегменты заёмщиков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Изменение требований</w:t>
            </w:r>
          </w:p>
        </w:tc>
        <w:tc>
          <w:tcPr>
            <w:tcW w:type="dxa" w:w="181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 для проекта и продукта</w:t>
            </w:r>
          </w:p>
        </w:tc>
        <w:tc>
          <w:tcPr>
            <w:tcW w:type="dxa" w:w="498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Заказчик меняет требования к функциям или кредитной политике после утверждения ТЗ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Задержка доступа к API БКИ и АБС</w:t>
            </w:r>
          </w:p>
        </w:tc>
        <w:tc>
          <w:tcPr>
            <w:tcW w:type="dxa" w:w="181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 для проекта</w:t>
            </w:r>
          </w:p>
        </w:tc>
        <w:tc>
          <w:tcPr>
            <w:tcW w:type="dxa" w:w="498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Тестовые среды внешних систем предоставляются с опозданием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Болезнь или уход участника группы</w:t>
            </w:r>
          </w:p>
        </w:tc>
        <w:tc>
          <w:tcPr>
            <w:tcW w:type="dxa" w:w="181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 для проекта</w:t>
            </w:r>
          </w:p>
        </w:tc>
        <w:tc>
          <w:tcPr>
            <w:tcW w:type="dxa" w:w="498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Один из трёх участников выбывает на длительный срок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9.5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9.5|5"/>
      </w:tblPr>
      <w:tblGrid>
        <w:gridCol w:w="2551"/>
        <w:gridCol w:w="1814"/>
        <w:gridCol w:w="4989"/>
      </w:tblGrid>
      <w:tr>
        <w:trPr>
          <w:cantSplit/>
          <w:tblHeader/>
        </w:trPr>
        <w:tc>
          <w:tcPr>
            <w:tcW w:type="dxa" w:w="255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</w:t>
            </w:r>
          </w:p>
        </w:tc>
        <w:tc>
          <w:tcPr>
            <w:tcW w:type="dxa" w:w="181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Тип риска</w:t>
            </w:r>
          </w:p>
        </w:tc>
        <w:tc>
          <w:tcPr>
            <w:tcW w:type="dxa" w:w="498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 риска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Недооценка сроков разработки</w:t>
            </w:r>
          </w:p>
        </w:tc>
        <w:tc>
          <w:tcPr>
            <w:tcW w:type="dxa" w:w="181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 для проекта</w:t>
            </w:r>
          </w:p>
        </w:tc>
        <w:tc>
          <w:tcPr>
            <w:tcW w:type="dxa" w:w="498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Трудоёмкость разработки серверной части и интеграций оценена неверно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Недостаточная точность модели</w:t>
            </w:r>
          </w:p>
        </w:tc>
        <w:tc>
          <w:tcPr>
            <w:tcW w:type="dxa" w:w="181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 для продукта</w:t>
            </w:r>
          </w:p>
        </w:tc>
        <w:tc>
          <w:tcPr>
            <w:tcW w:type="dxa" w:w="498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Модель не достигает ROC AUC 0,75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Деградация модели после внедрения</w:t>
            </w:r>
          </w:p>
        </w:tc>
        <w:tc>
          <w:tcPr>
            <w:tcW w:type="dxa" w:w="181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Бизнес-риск</w:t>
            </w:r>
          </w:p>
        </w:tc>
        <w:tc>
          <w:tcPr>
            <w:tcW w:type="dxa" w:w="498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Изменение экономической ситуации или поведения клиентов снижает качество прогнозов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Нарушение требований к защите ПДн</w:t>
            </w:r>
          </w:p>
        </w:tc>
        <w:tc>
          <w:tcPr>
            <w:tcW w:type="dxa" w:w="181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Бизнес-риск</w:t>
            </w:r>
          </w:p>
        </w:tc>
        <w:tc>
          <w:tcPr>
            <w:tcW w:type="dxa" w:w="498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Утечка данных или несоответствие требованиям 152-ФЗ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Сопротивление пользователей</w:t>
            </w:r>
          </w:p>
        </w:tc>
        <w:tc>
          <w:tcPr>
            <w:tcW w:type="dxa" w:w="181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Бизнес-риск</w:t>
            </w:r>
          </w:p>
        </w:tc>
        <w:tc>
          <w:tcPr>
            <w:tcW w:type="dxa" w:w="498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Андеррайтеры не доверяют рекомендациям системы и игнорируют их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Изменение законодательства</w:t>
            </w:r>
          </w:p>
        </w:tc>
        <w:tc>
          <w:tcPr>
            <w:tcW w:type="dxa" w:w="181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Бизнес-риск</w:t>
            </w:r>
          </w:p>
        </w:tc>
        <w:tc>
          <w:tcPr>
            <w:tcW w:type="dxa" w:w="498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Изменение требований Банка России к расчёту ПДН или процедурам кредитования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4.6 Анализ рисков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Для каждого риска оценены вероятность его проявления (очень низкая — менее 10 %, низкая — 10–25 %, средняя — 25–50 %, высокая — 50–75 %, очень высокая — более 75 %) и степень ущерба (катастрофический, серьёзный, терпимый, незначительный). Результаты анализа упорядочены по степени ущерба (таблица 9.6).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9.6 – Результаты анализа рисков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9.6|0"/>
      </w:tblPr>
      <w:tblGrid>
        <w:gridCol w:w="5386"/>
        <w:gridCol w:w="1984"/>
        <w:gridCol w:w="1984"/>
      </w:tblGrid>
      <w:tr>
        <w:trPr>
          <w:cantSplit/>
          <w:tblHeader/>
        </w:trPr>
        <w:tc>
          <w:tcPr>
            <w:tcW w:type="dxa" w:w="5386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</w:t>
            </w:r>
          </w:p>
        </w:tc>
        <w:tc>
          <w:tcPr>
            <w:tcW w:type="dxa" w:w="198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Вероятность</w:t>
            </w:r>
          </w:p>
        </w:tc>
        <w:tc>
          <w:tcPr>
            <w:tcW w:type="dxa" w:w="198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Ущерб</w:t>
            </w:r>
          </w:p>
        </w:tc>
      </w:tr>
      <w:tr>
        <w:trPr>
          <w:cantSplit/>
        </w:trPr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Нарушение требований к защите ПДн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Низкая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Катастрофический</w:t>
            </w:r>
          </w:p>
        </w:tc>
      </w:tr>
      <w:tr>
        <w:trPr>
          <w:cantSplit/>
        </w:trPr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Недостаточная точность модели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Средняя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Серьёзный</w:t>
            </w:r>
          </w:p>
        </w:tc>
      </w:tr>
      <w:tr>
        <w:trPr>
          <w:cantSplit/>
        </w:trPr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Низкое качество исторических данных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Высокая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Серьёзный</w:t>
            </w:r>
          </w:p>
        </w:tc>
      </w:tr>
      <w:tr>
        <w:trPr>
          <w:cantSplit/>
        </w:trPr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Недооценка сроков разработки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Высокая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Серьёзный</w:t>
            </w:r>
          </w:p>
        </w:tc>
      </w:tr>
      <w:tr>
        <w:trPr>
          <w:cantSplit/>
        </w:trPr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Болезнь или уход участника группы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Средняя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Серьёзный</w:t>
            </w:r>
          </w:p>
        </w:tc>
      </w:tr>
      <w:tr>
        <w:trPr>
          <w:cantSplit/>
        </w:trPr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Изменение требований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Средняя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Серьёзный</w:t>
            </w:r>
          </w:p>
        </w:tc>
      </w:tr>
      <w:tr>
        <w:trPr>
          <w:cantSplit/>
        </w:trPr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Деградация модели после внедрения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Средняя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Серьёзный</w:t>
            </w:r>
          </w:p>
        </w:tc>
      </w:tr>
      <w:tr>
        <w:trPr>
          <w:cantSplit/>
        </w:trPr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Задержка доступа к API БКИ и АБС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Высокая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Терпимый</w:t>
            </w:r>
          </w:p>
        </w:tc>
      </w:tr>
      <w:tr>
        <w:trPr>
          <w:cantSplit/>
        </w:trPr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Смещение обучающей выборки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Высокая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Терпимый</w:t>
            </w:r>
          </w:p>
        </w:tc>
      </w:tr>
      <w:tr>
        <w:trPr>
          <w:cantSplit/>
        </w:trPr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Сопротивление пользователей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Средняя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Терпимый</w:t>
            </w:r>
          </w:p>
        </w:tc>
      </w:tr>
      <w:tr>
        <w:trPr>
          <w:cantSplit/>
        </w:trPr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Изменение законодательства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Низкая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Терпимый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Для мониторинга отобраны риски с катастрофическими и серьёзными последствиями, а также риски с высокой вероятностью: нарушение требований к защите ПДн, недостаточная точность модели, низкое качество данных, недооценка сроков, выбытие участника группы, изменение требований, деградация модели и задержка доступа к внешним системам.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4.7 Планирование рисков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Для значимых рисков определены стратегии управления трёх видов: стратегии предотвращения (снижают вероятность проявления риска), минимизирующие стратегии (уменьшают ущерб) и планы действий на случай «аварийной» ситуации. Стратегии приведены в таблице 9.7.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9.7 – Стратегии управления рисками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9.7|0"/>
      </w:tblPr>
      <w:tblGrid>
        <w:gridCol w:w="2381"/>
        <w:gridCol w:w="1928"/>
        <w:gridCol w:w="5046"/>
      </w:tblGrid>
      <w:tr>
        <w:trPr>
          <w:cantSplit/>
          <w:tblHeader/>
        </w:trPr>
        <w:tc>
          <w:tcPr>
            <w:tcW w:type="dxa" w:w="238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</w:t>
            </w:r>
          </w:p>
        </w:tc>
        <w:tc>
          <w:tcPr>
            <w:tcW w:type="dxa" w:w="192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Вид стратегии</w:t>
            </w:r>
          </w:p>
        </w:tc>
        <w:tc>
          <w:tcPr>
            <w:tcW w:type="dxa" w:w="5046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Стратегия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Нарушение требований к защите ПДн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Предотвращение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Согласовать архитектуру со службой ИБ, обезличивать данные для обучения, разграничить доступ по ролям, вести журнал аудита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Недостаточная точность модели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Минимизация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Использовать несколько алгоритмов и ансамбли, расширить набор признаков из кредитной истории; при недостижении порога внедрить интерпретируемую скоринговую карту как временное решение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Низкое качество исторических данных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Предотвращение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Провести анализ качества данных на этапе T3, согласовать правила очистки с риск-аналитиками Банка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Недооценка сроков разработки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Минимизация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Резерв времени между окончанием работ (17.12) и сроком проекта (31.12); приоритизация функций — второстепенные отчёты переносятся на следующую версию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Болезнь или уход участника группы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Минимизация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Взаимозаменяемость участников (все — разработчики), код-ревью и документирование, перекрёстное знакомство с задачами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Изменение требований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Предотвращение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Утверждение ТЗ, процедура управления изменениями, регулярные демонстрации заказчику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Деградация модели после внедрения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Аварийный план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Ежемесячный мониторинг PSI и Gini; при превышении порогов — откат на предыдущую версию модели и внеплановое переобучение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Задержка доступа к API БКИ и АБС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Минимизация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с использованием заглушек (mock-сервисов) по спецификациям API, раннее согласование доступа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 Мониторинг рисков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Мониторинг рисков выполняется руководителем проекта еженедельно на совещании группы и по завершении каждого этапа (контрольной точки). Для каждого значимого риска отслеживаются признаки его проявления, приведённые в таблице 9.8; при изменении оценки вероятности или ущерба таблицы 9.6 и 9.7 пересматриваются.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9.8 – Признаки проявления рисков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9.8|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Признаки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Нарушение требований к защите ПДн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Замечания службы ИБ, обнаружение ПДн в тестовых данных или журналах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Недостаточная точность модели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ROC AUC промежуточных моделей ниже 0,72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Низкое качество исторических данных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Доля пропусков в ключевых полях более 20 %, расхождения с данными АБС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Недооценка сроков разработки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Отставание от графика по этапам критического пути более чем на 3 дня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Болезнь или уход участника группы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Длительное отсутствие участника, снижение его активности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Изменение требований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Частые запросы на изменения от заказчика, новые требования на демонстрациях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Деградация модели после внедрения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PSI &gt; 0,25, рост доли просрочек в новых выдачах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Задержка доступа к API БКИ и АБС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Отсутствие тестовых учётных данных к началу этапа T7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5 Заключение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работы изучена методика управления проектами и построена модель управления проектом создания системы поддержки принятия решений для оценки кредитоспособности физических лиц. Определены 12 этапов проекта с длительностями и зависимостями, построены сетевая диаграмма с выделением критического пути и временная диаграмма проекта, выполнено распределение трёх участников группы по этапам и построена диаграмма их занятости.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Работы укладываются в период с 01.09.2026 по 31.12.2026 с резервом времени на случай задержек. Составлен список из 11 возможных рисков с указанием типа, проведён их анализ по вероятности и ущербу, для значимых рисков разработаны стратегии предотвращения, минимизации и аварийные планы, определены признаки проявления рисков для их мониторинга.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6 Список используемой литературы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ГОСТ 34.601-90. Информационная технология. Комплекс стандартов на автоматизированные системы. Автоматизированные системы. Стадии создания. — М.: Стандартинформ, 2009.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ГОСТ 34.602-89. Информационная технология. Комплекс стандартов на автоматизированные системы. Техническое задание на создание автоматизированной системы. — М.: Стандартинформ, 2009.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ГОСТ Р ИСО/МЭК 12207-2010. Информационная технология. Системная и программная инженерия. Процессы жизненного цикла программных средств. — М.: Стандартинформ, 2011.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 Соммервилл И. Инженерия программного обеспечения. — 6-е изд. — М.: Вильямс, 2002. — 624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 Вигерс К., Битти Д. Разработка требований к программному обеспечению. — 3-е изд. — М.: Русская редакция; СПб.: БХВ-Петербург, 2014. — 736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 Сиддики Н. Скоринговые карты для оценки кредитных рисков. Разработка и внедрение интеллектуальных методов кредитного скоринга. — М.: Манн, Иванов и Фербер, 2014. — 272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7. Федеральный закон от 30.12.2004 № 218-ФЗ «О кредитных историях».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8. Федеральный закон от 21.12.2013 № 353-ФЗ «О потребительском кредите (займе)».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9. Федеральный закон от 27.07.2006 № 152-ФЗ «О персональных данных».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10. Методические указания по выполнению практических работ по дисциплине «Программная инженерия». Части 1, 2. — Тула: ТулГУ.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11. Руководство к своду знаний по управлению проектами (Руководство PMBOK). — 6-е изд. — Project Management Institute, 2017. — 726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12. ГОСТ Р 54869-2011. Проектный менеджмент. Требования к управлению проектом. — М.: Стандартинформ, 2012.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13. ГОСТ Р ИСО 31000-2019. Менеджмент риска. Принципы и руководство. — М.: Стандартинформ, 2020.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cs="Times New Roman" w:eastAsia="Times New Roman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709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