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Министерство науки и высшего образования РФ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Федеральное государственное бюджетное образовательное учреждение высшего образования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«Тульский государственный университет»</w:t>
      </w:r>
    </w:p>
    <w:p>
      <w:pPr>
        <w:spacing w:line="276" w:lineRule="auto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Институт прикладной математики и компьютерных наук</w:t>
      </w: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РАЗРАБОТКА ТРЕБОВАНИЙ К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ИНФОРМАЦИОННОЙ СИСТЕМЕ</w:t>
      </w: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Отчет по выполнению практической работы № 4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по курсу «</w:t>
      </w:r>
      <w:r>
        <w:rPr>
          <w:rFonts w:ascii="Times New Roman" w:hAnsi="Times New Roman" w:cs="Times New Roman" w:eastAsia="Times New Roman"/>
          <w:b/>
          <w:i w:val="0"/>
          <w:sz w:val="28"/>
        </w:rPr>
        <w:t>Программная инженерия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»</w:t>
      </w: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Тема: «Разработка информационной системы поддержки принятия решений для оценки кредитоспособности физических лиц»</w:t>
      </w: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tabs>
          <w:tab w:pos="9354" w:val="right"/>
        </w:tabs>
        <w:spacing w:line="276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Выполнил ст. гр. </w:t>
      </w:r>
      <w:r>
        <w:rPr>
          <w:rFonts w:ascii="Times New Roman" w:hAnsi="Times New Roman" w:cs="Times New Roman" w:eastAsia="Times New Roman"/>
          <w:b w:val="0"/>
          <w:i/>
          <w:sz w:val="28"/>
        </w:rPr>
        <w:t>_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_</w:t>
        <w:tab/>
        <w:t>Фамилия И. О.</w:t>
      </w:r>
    </w:p>
    <w:p>
      <w:pPr>
        <w:spacing w:line="276" w:lineRule="auto" w:after="0"/>
        <w:ind w:firstLine="0"/>
        <w:jc w:val="center"/>
      </w:pPr>
    </w:p>
    <w:p>
      <w:pPr>
        <w:tabs>
          <w:tab w:pos="9354" w:val="right"/>
        </w:tabs>
        <w:spacing w:line="276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Проверил преп.</w:t>
        <w:tab/>
        <w:t>Лисняк М. В.</w:t>
      </w: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keepNext w:val="0"/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Тула 2026</w:t>
      </w:r>
      <w:r>
        <w:br w:type="page"/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1 Цель работы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Составить и проанализировать требования к информационной системе, оформить техническое задание на разработку программного обеспечения.</w:t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2 Введение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Работа выполняется для базовой редакции системы поддержки принятия решений для оценки кредитоспособности физических лиц, описание которой составлено в практической работе № 3. Заказчик — небольшая микрофинансовая организация или кредитный потребительский кооператив с одним-двумя специалистами по займам, одним компьютером и без ИТ-специалиста. Цель работы — сформировать полный и непротиворечивый набор требований к системе и оформить техническое задание на её создание.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Для формирования и анализа требований используется метод VORD (Viewpoint-Oriented Requirements Definition — определение требований на основе точек зрения), включающий четыре этапа: идентификацию точек зрения и соответствующих им сервисов, структурирование точек зрения (построение иерархии), документирование точек зрения и отображение системы точек зрения на объекты информационной модели.</w:t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3 Программно-аппаратные средства, используемые при выполнении работы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4.1 – Программно-аппаратные средства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4.1|0"/>
      </w:tblPr>
      <w:tblGrid>
        <w:gridCol w:w="2835"/>
        <w:gridCol w:w="6520"/>
      </w:tblGrid>
      <w:tr>
        <w:trPr>
          <w:cantSplit/>
          <w:tblHeader/>
        </w:trPr>
        <w:tc>
          <w:tcPr>
            <w:tcW w:type="dxa" w:w="2835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Средство</w:t>
            </w:r>
          </w:p>
        </w:tc>
        <w:tc>
          <w:tcPr>
            <w:tcW w:type="dxa" w:w="6520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Характеристика и назначение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Персональный компьютер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Процессор x86-64 (4 ядра, 3,0 ГГц), ОЗУ 16 ГБ, SSD 512 ГБ, монитор 24″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Операционная система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Microsoft Windows 11 Pro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Текстовый редактор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Microsoft Word 2021 — оформление отчёта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Средства моделирования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PlantUML, Python 3.12 (matplotlib) — построение схем и диаграмм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Справочно-правовые системы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«Гарант», «КонсультантПлюс» — нормативная база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Система контроля версий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Git, GitHub — хранение материалов проекта</w:t>
            </w:r>
          </w:p>
        </w:tc>
      </w:tr>
    </w:tbl>
    <w:p>
      <w:pPr>
        <w:spacing w:line="240" w:lineRule="auto"/>
      </w:pP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4 Основная часть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4.1 Идентификация точек зрения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В ходе «мозгового штурма» были выявлены потенциальные получатели системных сервисов (прямые точки зрения — пользователи и внешние системы, непосредственно взаимодействующие с системой), косвенные точки зрения (лица и организации, заинтересованные в результатах работы системы, но не работающие с ней напрямую) и точки зрения предметной области (ограничения, налагаемые нормативными требованиями и характеристиками предметной области).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Диаграмма идентификации точек зрения представлена на рисунке 4.1. Тёмными овалами обозначены точки зрения, светлыми — идентифицированные системные сервисы.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54553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4_vord_identific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4553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4.1 – Диаграмма идентификации точек зрения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Распределение сервисов по точкам зрения приведено в таблице 4.2.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4.2 – Сервисы, соотнесённые с точками зрения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4.2|0"/>
      </w:tblPr>
      <w:tblGrid>
        <w:gridCol w:w="2381"/>
        <w:gridCol w:w="1587"/>
        <w:gridCol w:w="5386"/>
      </w:tblGrid>
      <w:tr>
        <w:trPr>
          <w:cantSplit/>
          <w:tblHeader/>
        </w:trPr>
        <w:tc>
          <w:tcPr>
            <w:tcW w:type="dxa" w:w="238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Точка зрения</w:t>
            </w:r>
          </w:p>
        </w:tc>
        <w:tc>
          <w:tcPr>
            <w:tcW w:type="dxa" w:w="158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Тип</w:t>
            </w:r>
          </w:p>
        </w:tc>
        <w:tc>
          <w:tcPr>
            <w:tcW w:type="dxa" w:w="5386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Сервисы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Специалист по займам</w:t>
            </w:r>
          </w:p>
        </w:tc>
        <w:tc>
          <w:tcPr>
            <w:tcW w:type="dxa" w:w="15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Прямая</w:t>
            </w:r>
          </w:p>
        </w:tc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Регистрация заявки и анкеты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Ввод сведений из кредитного отчёта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Просмотр оценки и факторов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Принятие решения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Список и карточка заявки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Руководитель Организации</w:t>
            </w:r>
          </w:p>
        </w:tc>
        <w:tc>
          <w:tcPr>
            <w:tcW w:type="dxa" w:w="15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Прямая</w:t>
            </w:r>
          </w:p>
        </w:tc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Отчёт об одобрении по классам риска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Просмотр решений и обоснований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Ведение справочника продуктов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Клиент (заёмщик)</w:t>
            </w:r>
          </w:p>
        </w:tc>
        <w:tc>
          <w:tcPr>
            <w:tcW w:type="dxa" w:w="15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Косвенная</w:t>
            </w:r>
          </w:p>
        </w:tc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Быстрое решение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Защита персональных данных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Причина отказа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Бюро кредитных историй</w:t>
            </w:r>
          </w:p>
        </w:tc>
        <w:tc>
          <w:tcPr>
            <w:tcW w:type="dxa" w:w="15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Косвенная (внешний источник)</w:t>
            </w:r>
          </w:p>
        </w:tc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Кредитный отчёт на портале бюро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Согласие клиента на запрос</w:t>
            </w:r>
          </w:p>
        </w:tc>
      </w:tr>
    </w:tbl>
    <w:p>
      <w:pPr>
        <w:keepNext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Продолжение таблицы 4.2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4.2|4"/>
      </w:tblPr>
      <w:tblGrid>
        <w:gridCol w:w="2381"/>
        <w:gridCol w:w="1587"/>
        <w:gridCol w:w="5386"/>
      </w:tblGrid>
      <w:tr>
        <w:trPr>
          <w:cantSplit/>
          <w:tblHeader/>
        </w:trPr>
        <w:tc>
          <w:tcPr>
            <w:tcW w:type="dxa" w:w="238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Точка зрения</w:t>
            </w:r>
          </w:p>
        </w:tc>
        <w:tc>
          <w:tcPr>
            <w:tcW w:type="dxa" w:w="158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Тип</w:t>
            </w:r>
          </w:p>
        </w:tc>
        <w:tc>
          <w:tcPr>
            <w:tcW w:type="dxa" w:w="5386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Сервисы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Регулятор и законодательство</w:t>
            </w:r>
          </w:p>
        </w:tc>
        <w:tc>
          <w:tcPr>
            <w:tcW w:type="dxa" w:w="15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Предметной области</w:t>
            </w:r>
          </w:p>
        </w:tc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Расчёт ПДН по требованиям Банка России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Согласие на обработку ПДн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Документирование решений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Эксплуатация без ИТ-специалиста</w:t>
            </w:r>
          </w:p>
        </w:tc>
        <w:tc>
          <w:tcPr>
            <w:tcW w:type="dxa" w:w="15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Предметной области</w:t>
            </w:r>
          </w:p>
        </w:tc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Установка без интернета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Резервная копия — копия файла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Работа на слабом компьютере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4.2 Структурирование точек зрения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Выявленные точки зрения сгруппированы в иерархию (рисунок 4.2). На верхнем уровне выделены пользователи системы, внешние источники данных и заинтересованные лица с ограничениями. Общесистемные сервисы (вход по паролю, хранение данных в одном файле) предоставляются на верхнем уровне и наследуются всеми точками зрения. Точка зрения «Эксплуатация без ИТ-специалиста» отражает главное отличие базовой редакции: требования к установке и сопровождению.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53231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4_vord_hierarch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532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4.2 – Диаграмма иерархии точек зрения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4.3 Документирование точек зрения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Для ключевых точек зрения выполнено документирование в виде шаблонов, содержащих описание точки зрения, предоставляемые ей сервисы, исходные данные, события и исключительные ситуации (таблица 4.3).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4.3 – Шаблоны описания ключевых точек зрения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4.3|0"/>
      </w:tblPr>
      <w:tblGrid>
        <w:gridCol w:w="2551"/>
        <w:gridCol w:w="6803"/>
      </w:tblGrid>
      <w:tr>
        <w:trPr>
          <w:cantSplit/>
          <w:tblHeader/>
        </w:trPr>
        <w:tc>
          <w:tcPr>
            <w:tcW w:type="dxa" w:w="255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Элемент шаблона</w:t>
            </w:r>
          </w:p>
        </w:tc>
        <w:tc>
          <w:tcPr>
            <w:tcW w:type="dxa" w:w="6803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Содержание</w:t>
            </w:r>
          </w:p>
        </w:tc>
      </w:tr>
      <w:tr>
        <w:trPr>
          <w:cantSplit/>
        </w:trPr>
        <w:tc>
          <w:tcPr>
            <w:tcW w:type="dxa" w:w="9354"/>
            <w:gridSpan w:val="2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Точка зрения «Специалист по займам»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Описание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Сотрудник Организации, принимающий заявки и решающий, выдавать ли заём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Источник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Ведущий специалист по займам (интервью), действующая балльная таблица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Сервисы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Регистрация заявки и анкеты; ввод сведений из кредитного отчёта; просмотр оценки и факторов; принятие решения; список и карточка заявки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Входные данные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Паспорт и анкета клиента, согласие, кредитный отчёт с портала БКИ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События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Обращение клиента; получение кредитного отчёта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Исключительные ситуации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Сработал стоп-фактор — рекомендуется отказ без расчёта балла; сумма или срок вне диапазона продукта — заявка не сохраняется; решение расходится с рекомендацией — нужно обоснование</w:t>
            </w:r>
          </w:p>
        </w:tc>
      </w:tr>
      <w:tr>
        <w:trPr>
          <w:cantSplit/>
        </w:trPr>
        <w:tc>
          <w:tcPr>
            <w:tcW w:type="dxa" w:w="9354"/>
            <w:gridSpan w:val="2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Точка зрения «Эксплуатация без ИТ-специалиста»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Описание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Требования Организации, у которой нет ИТ-специалиста, сервера и, возможно, постоянного интернета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Источник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Руководитель Организации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Сервисы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Установка двойным щелчком без интернета; резервная копия — копия одного файла; работа на имеющемся компьютере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Исключительные ситуации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Не установлен Python — программа сообщает, где его скачать; база данных отсутствует — создаётся с демонстрационными данными</w:t>
            </w:r>
          </w:p>
        </w:tc>
      </w:tr>
      <w:tr>
        <w:trPr>
          <w:cantSplit/>
        </w:trPr>
        <w:tc>
          <w:tcPr>
            <w:tcW w:type="dxa" w:w="9354"/>
            <w:gridSpan w:val="2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Точка зрения «Регулятор и законодательство»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Описание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Требования законодательства и Банка России к выдаче займов и обработке данных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Сервисы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Расчёт ПДН с учётом платежа по новому займу; запрет оценки без согласия клиента; сохранение обоснования решения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Исключительные ситуации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Нет согласия клиента — заявка не регистрируется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4.4 Информационная модель системы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Информационная модель системы построена на основе анализа точек зрения и представлена в виде диаграммы «сущность–связь» (рисунок 4.3). Модель соответствует физической схеме базы данных SQLite: для каждой таблицы указаны имена и типы столбцов.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15325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4_er_mode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532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4.3 – Информационная модель системы (диаграмма «сущность–связь»)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Описание основных объектов информационной модели приведено в таблице 4.4.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4.4 – Объекты информационной модели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4.4|0"/>
      </w:tblPr>
      <w:tblGrid>
        <w:gridCol w:w="2041"/>
        <w:gridCol w:w="3628"/>
        <w:gridCol w:w="3685"/>
      </w:tblGrid>
      <w:tr>
        <w:trPr>
          <w:cantSplit/>
          <w:tblHeader/>
        </w:trPr>
        <w:tc>
          <w:tcPr>
            <w:tcW w:type="dxa" w:w="204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Объект</w:t>
            </w:r>
          </w:p>
        </w:tc>
        <w:tc>
          <w:tcPr>
            <w:tcW w:type="dxa" w:w="362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Описание</w:t>
            </w:r>
          </w:p>
        </w:tc>
        <w:tc>
          <w:tcPr>
            <w:tcW w:type="dxa" w:w="3685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Основные атрибуты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users (Пользователь)</w:t>
            </w:r>
          </w:p>
        </w:tc>
        <w:tc>
          <w:tcPr>
            <w:tcW w:type="dxa" w:w="36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Учётная запись для входа в систему</w:t>
            </w:r>
          </w:p>
        </w:tc>
        <w:tc>
          <w:tcPr>
            <w:tcW w:type="dxa" w:w="368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Логин, хэш пароля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products (Кредитный продукт)</w:t>
            </w:r>
          </w:p>
        </w:tc>
        <w:tc>
          <w:tcPr>
            <w:tcW w:type="dxa" w:w="36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Вид займа и его параметры</w:t>
            </w:r>
          </w:p>
        </w:tc>
        <w:tc>
          <w:tcPr>
            <w:tcW w:type="dxa" w:w="368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Наименование, диапазоны суммы и срока, базовая ставка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clients (Клиент)</w:t>
            </w:r>
          </w:p>
        </w:tc>
        <w:tc>
          <w:tcPr>
            <w:tcW w:type="dxa" w:w="36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Физическое лицо — заёмщик</w:t>
            </w:r>
          </w:p>
        </w:tc>
        <w:tc>
          <w:tcPr>
            <w:tcW w:type="dxa" w:w="368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ФИО, дата рождения, паспорт, телефон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applications (Заявка)</w:t>
            </w:r>
          </w:p>
        </w:tc>
        <w:tc>
          <w:tcPr>
            <w:tcW w:type="dxa" w:w="36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Обращение клиента за займом; содержит сведения из кредитного отчёта, результат оценки и решение</w:t>
            </w:r>
          </w:p>
        </w:tc>
        <w:tc>
          <w:tcPr>
            <w:tcW w:type="dxa" w:w="368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Клиент, продукт, сумма, срок, доход, стаж, данные БКИ, балл, PD, класс риска, ПДН, стоп-фактор, факторы, рекомендация, состояние, решение</w:t>
            </w:r>
          </w:p>
        </w:tc>
      </w:tr>
    </w:tbl>
    <w:p>
      <w:pPr>
        <w:spacing w:line="240" w:lineRule="auto"/>
      </w:pP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Клиент может подать несколько заявок; клиент находится по паспорту. Каждая заявка относится к одному продукту. Сведения из кредитного отчёта, результат оценки и решение хранятся в самой заявке: в базовой редакции заявка оценивается один раз при регистрации, а решение принимает один специалист, поэтому отдельные таблицы для оценок и решений не нужны. Это упрощает схему и резервное копирование.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4.5 Пользовательские требования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На основании информационной модели, диаграмм идентификации и иерархии точек зрения сформированы пользовательские требования — описание на естественном языке функций, выполняемых системой, и ограничений, накладываемых на неё (таблица 4.5).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4.5 – Пользовательские требования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4.5|0"/>
      </w:tblPr>
      <w:tblGrid>
        <w:gridCol w:w="794"/>
        <w:gridCol w:w="5443"/>
        <w:gridCol w:w="1928"/>
        <w:gridCol w:w="1191"/>
      </w:tblGrid>
      <w:tr>
        <w:trPr>
          <w:cantSplit/>
          <w:tblHeader/>
        </w:trPr>
        <w:tc>
          <w:tcPr>
            <w:tcW w:type="dxa" w:w="794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Код</w:t>
            </w:r>
          </w:p>
        </w:tc>
        <w:tc>
          <w:tcPr>
            <w:tcW w:type="dxa" w:w="5443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Требование</w:t>
            </w:r>
          </w:p>
        </w:tc>
        <w:tc>
          <w:tcPr>
            <w:tcW w:type="dxa" w:w="192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Точка зрения</w:t>
            </w:r>
          </w:p>
        </w:tc>
        <w:tc>
          <w:tcPr>
            <w:tcW w:type="dxa" w:w="119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Приоритет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П-1</w:t>
            </w:r>
          </w:p>
        </w:tc>
        <w:tc>
          <w:tcPr>
            <w:tcW w:type="dxa" w:w="544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Специалист должен войти в систему по логину и паролю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Специалист по займам</w:t>
            </w:r>
          </w:p>
        </w:tc>
        <w:tc>
          <w:tcPr>
            <w:tcW w:type="dxa" w:w="119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Высокий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П-2</w:t>
            </w:r>
          </w:p>
        </w:tc>
        <w:tc>
          <w:tcPr>
            <w:tcW w:type="dxa" w:w="544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Специалист должен зарегистрировать заявку: анкета клиента, продукт, сумма, срок, доход, стаж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Специалист по займам</w:t>
            </w:r>
          </w:p>
        </w:tc>
        <w:tc>
          <w:tcPr>
            <w:tcW w:type="dxa" w:w="119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Высокий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П-3</w:t>
            </w:r>
          </w:p>
        </w:tc>
        <w:tc>
          <w:tcPr>
            <w:tcW w:type="dxa" w:w="544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Заявка не должна оцениваться без согласия клиента на обработку данных и запрос в БКИ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Регулятор</w:t>
            </w:r>
          </w:p>
        </w:tc>
        <w:tc>
          <w:tcPr>
            <w:tcW w:type="dxa" w:w="119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Высокий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П-4</w:t>
            </w:r>
          </w:p>
        </w:tc>
        <w:tc>
          <w:tcPr>
            <w:tcW w:type="dxa" w:w="544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Специалист должен ввести сведения из кредитного отчёта БКИ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Специалист по займам, БКИ</w:t>
            </w:r>
          </w:p>
        </w:tc>
        <w:tc>
          <w:tcPr>
            <w:tcW w:type="dxa" w:w="119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Высокий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П-5</w:t>
            </w:r>
          </w:p>
        </w:tc>
        <w:tc>
          <w:tcPr>
            <w:tcW w:type="dxa" w:w="544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Система должна проверить стоп-факторы, рассчитать ПДН, вероятность дефолта и класс риска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Специалист по займам, Регулятор</w:t>
            </w:r>
          </w:p>
        </w:tc>
        <w:tc>
          <w:tcPr>
            <w:tcW w:type="dxa" w:w="119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Высокий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П-6</w:t>
            </w:r>
          </w:p>
        </w:tc>
        <w:tc>
          <w:tcPr>
            <w:tcW w:type="dxa" w:w="544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Система должна рекомендовать решение и условия займа и показать, какие факторы повлияли на оценку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Специалист по займам, Клиент</w:t>
            </w:r>
          </w:p>
        </w:tc>
        <w:tc>
          <w:tcPr>
            <w:tcW w:type="dxa" w:w="119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Высокий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П-7</w:t>
            </w:r>
          </w:p>
        </w:tc>
        <w:tc>
          <w:tcPr>
            <w:tcW w:type="dxa" w:w="544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Специалист должен принять решение; решение, отличное от рекомендации, — с обоснованием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Специалист по займам, Руководитель</w:t>
            </w:r>
          </w:p>
        </w:tc>
        <w:tc>
          <w:tcPr>
            <w:tcW w:type="dxa" w:w="119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Высокий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П-8</w:t>
            </w:r>
          </w:p>
        </w:tc>
        <w:tc>
          <w:tcPr>
            <w:tcW w:type="dxa" w:w="544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Система должна показывать список заявок с отбором по состоянию и карточку заявки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Специалист по займам, Руководитель</w:t>
            </w:r>
          </w:p>
        </w:tc>
        <w:tc>
          <w:tcPr>
            <w:tcW w:type="dxa" w:w="119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Средний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П-9</w:t>
            </w:r>
          </w:p>
        </w:tc>
        <w:tc>
          <w:tcPr>
            <w:tcW w:type="dxa" w:w="544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Система должна формировать отчёт об одобрении заявок по классам риска за период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Руководитель Организации</w:t>
            </w:r>
          </w:p>
        </w:tc>
        <w:tc>
          <w:tcPr>
            <w:tcW w:type="dxa" w:w="119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Средний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П-10</w:t>
            </w:r>
          </w:p>
        </w:tc>
        <w:tc>
          <w:tcPr>
            <w:tcW w:type="dxa" w:w="544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Руководитель должен вести справочник кредитных продуктов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Руководитель Организации</w:t>
            </w:r>
          </w:p>
        </w:tc>
        <w:tc>
          <w:tcPr>
            <w:tcW w:type="dxa" w:w="119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Средний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П-11</w:t>
            </w:r>
          </w:p>
        </w:tc>
        <w:tc>
          <w:tcPr>
            <w:tcW w:type="dxa" w:w="544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Система должна устанавливаться и работать на одном компьютере Windows без интернета и без ИТ-специалиста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Эксплуатация без ИТ-специалиста</w:t>
            </w:r>
          </w:p>
        </w:tc>
        <w:tc>
          <w:tcPr>
            <w:tcW w:type="dxa" w:w="119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Высокий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4.6 Системные требования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Системные требования детализируют пользовательские требования и служат основой для проектирования. Функциональные системные требования приведены в таблице 4.6, требования к архитектуре, оборудованию, параметрам, программному интерфейсу, структуре и взаимодействию — в таблице 4.7.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4.6 – Функциональные системные требования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4.6|0"/>
      </w:tblPr>
      <w:tblGrid>
        <w:gridCol w:w="907"/>
        <w:gridCol w:w="7030"/>
        <w:gridCol w:w="1417"/>
      </w:tblGrid>
      <w:tr>
        <w:trPr>
          <w:cantSplit/>
          <w:tblHeader/>
        </w:trPr>
        <w:tc>
          <w:tcPr>
            <w:tcW w:type="dxa" w:w="90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Код</w:t>
            </w:r>
          </w:p>
        </w:tc>
        <w:tc>
          <w:tcPr>
            <w:tcW w:type="dxa" w:w="7030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Системное требование</w:t>
            </w:r>
          </w:p>
        </w:tc>
        <w:tc>
          <w:tcPr>
            <w:tcW w:type="dxa" w:w="141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Связь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С-1</w:t>
            </w:r>
          </w:p>
        </w:tc>
        <w:tc>
          <w:tcPr>
            <w:tcW w:type="dxa" w:w="703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Вход по логину и паролю; пароль хранится в виде хэша; страницы, кроме страницы входа, недоступны без входа</w:t>
            </w:r>
          </w:p>
        </w:tc>
        <w:tc>
          <w:tcPr>
            <w:tcW w:type="dxa" w:w="141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П-1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С-2</w:t>
            </w:r>
          </w:p>
        </w:tc>
        <w:tc>
          <w:tcPr>
            <w:tcW w:type="dxa" w:w="703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Форма заявки содержит обязательные поля: фамилия, имя, дата рождения, паспорт (серия и номер), продукт, сумма, срок, доход; клиент с тем же паспортом не дублируется</w:t>
            </w:r>
          </w:p>
        </w:tc>
        <w:tc>
          <w:tcPr>
            <w:tcW w:type="dxa" w:w="141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П-2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С-3</w:t>
            </w:r>
          </w:p>
        </w:tc>
        <w:tc>
          <w:tcPr>
            <w:tcW w:type="dxa" w:w="703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Сумма и срок проверяются по диапазонам выбранного продукта; при нарушении заявка не сохраняется и выводится сообщение</w:t>
            </w:r>
          </w:p>
        </w:tc>
        <w:tc>
          <w:tcPr>
            <w:tcW w:type="dxa" w:w="141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П-2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С-4</w:t>
            </w:r>
          </w:p>
        </w:tc>
        <w:tc>
          <w:tcPr>
            <w:tcW w:type="dxa" w:w="703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Заявка не сохраняется без отметки о согласии клиента на обработку персональных данных и запрос в БКИ</w:t>
            </w:r>
          </w:p>
        </w:tc>
        <w:tc>
          <w:tcPr>
            <w:tcW w:type="dxa" w:w="141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П-3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С-5</w:t>
            </w:r>
          </w:p>
        </w:tc>
        <w:tc>
          <w:tcPr>
            <w:tcW w:type="dxa" w:w="703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Форма содержит поля сведений из кредитного отчёта: платежи по действующим кредитам, максимальная и текущая просрочка, число запросов за 6 месяцев, длина кредитной истории</w:t>
            </w:r>
          </w:p>
        </w:tc>
        <w:tc>
          <w:tcPr>
            <w:tcW w:type="dxa" w:w="141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П-4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С-6</w:t>
            </w:r>
          </w:p>
        </w:tc>
        <w:tc>
          <w:tcPr>
            <w:tcW w:type="dxa" w:w="703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Стоп-факторы: возраст менее 21 года; возраст на дату погашения более 70 лет; текущая просрочка; ПДН больше 80 %; доход ниже 15 000 руб. При срабатывании — рекомендация «Отказать» без расчёта балла</w:t>
            </w:r>
          </w:p>
        </w:tc>
        <w:tc>
          <w:tcPr>
            <w:tcW w:type="dxa" w:w="141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П-5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С-7</w:t>
            </w:r>
          </w:p>
        </w:tc>
        <w:tc>
          <w:tcPr>
            <w:tcW w:type="dxa" w:w="703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ПДН = (платежи по действующим кредитам + аннуитетный платёж по новому займу) / доход</w:t>
            </w:r>
          </w:p>
        </w:tc>
        <w:tc>
          <w:tcPr>
            <w:tcW w:type="dxa" w:w="141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П-5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С-8</w:t>
            </w:r>
          </w:p>
        </w:tc>
        <w:tc>
          <w:tcPr>
            <w:tcW w:type="dxa" w:w="703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Балл = 400 + сумма баллов семи характеристик скоринговой карты; PD = 1 / (1 + 50 · 2^((балл − 600) / 20)); класс риска A — до 2 %, B — до 5 %, C — до 10 %, D — до 20 %, E — выше</w:t>
            </w:r>
          </w:p>
        </w:tc>
        <w:tc>
          <w:tcPr>
            <w:tcW w:type="dxa" w:w="141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П-5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С-9</w:t>
            </w:r>
          </w:p>
        </w:tc>
        <w:tc>
          <w:tcPr>
            <w:tcW w:type="dxa" w:w="703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Условия по классу риска: A — сумма 100 %, ставка без надбавки; B — 100 %, +1 п. п.; C — 80 %, +3 п. п.; D — 60 %, +6 п. п.; предельный ПДН — 80 % для A и B, 50 % для C и D; класс E — отказ</w:t>
            </w:r>
          </w:p>
        </w:tc>
        <w:tc>
          <w:tcPr>
            <w:tcW w:type="dxa" w:w="141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П-6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С-10</w:t>
            </w:r>
          </w:p>
        </w:tc>
        <w:tc>
          <w:tcPr>
            <w:tcW w:type="dxa" w:w="703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Для каждой оценки показываются три характеристики, сильнее всего повысившие риск, и три — снизившие</w:t>
            </w:r>
          </w:p>
        </w:tc>
        <w:tc>
          <w:tcPr>
            <w:tcW w:type="dxa" w:w="141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П-6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С-11</w:t>
            </w:r>
          </w:p>
        </w:tc>
        <w:tc>
          <w:tcPr>
            <w:tcW w:type="dxa" w:w="703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Решение «Одобрить» или «Отказать»; если решение отличается от рекомендации, обоснование не короче 20 символов обязательно</w:t>
            </w:r>
          </w:p>
        </w:tc>
        <w:tc>
          <w:tcPr>
            <w:tcW w:type="dxa" w:w="141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П-7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С-12</w:t>
            </w:r>
          </w:p>
        </w:tc>
        <w:tc>
          <w:tcPr>
            <w:tcW w:type="dxa" w:w="703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Список заявок — по убыванию даты, с отбором по состоянию (на рассмотрении, одобрена, отклонена); карточка — анкета, сведения БКИ, оценка, факторы, решение</w:t>
            </w:r>
          </w:p>
        </w:tc>
        <w:tc>
          <w:tcPr>
            <w:tcW w:type="dxa" w:w="141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П-8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С-13</w:t>
            </w:r>
          </w:p>
        </w:tc>
        <w:tc>
          <w:tcPr>
            <w:tcW w:type="dxa" w:w="703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Отчёт за 30–365 дней: число заявок, одобрений и одобренная сумма по классам риска</w:t>
            </w:r>
          </w:p>
        </w:tc>
        <w:tc>
          <w:tcPr>
            <w:tcW w:type="dxa" w:w="141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П-9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С-14</w:t>
            </w:r>
          </w:p>
        </w:tc>
        <w:tc>
          <w:tcPr>
            <w:tcW w:type="dxa" w:w="703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Справочник продуктов: просмотр и добавление продукта (наименование, диапазоны суммы и срока, ставка)</w:t>
            </w:r>
          </w:p>
        </w:tc>
        <w:tc>
          <w:tcPr>
            <w:tcW w:type="dxa" w:w="141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П-10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С-15</w:t>
            </w:r>
          </w:p>
        </w:tc>
        <w:tc>
          <w:tcPr>
            <w:tcW w:type="dxa" w:w="703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Запуск файлом run.bat: создание окружения, установка пакетов из папки дистрибутива без интернета, создание базы с демонстрационными данными при первом запуске, открытие браузера</w:t>
            </w:r>
          </w:p>
        </w:tc>
        <w:tc>
          <w:tcPr>
            <w:tcW w:type="dxa" w:w="141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П-11</w:t>
            </w:r>
          </w:p>
        </w:tc>
      </w:tr>
    </w:tbl>
    <w:p>
      <w:pPr>
        <w:spacing w:line="240" w:lineRule="auto"/>
      </w:pP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4.7 – Общие (нефункциональные) системные требования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4.7|0"/>
      </w:tblPr>
      <w:tblGrid>
        <w:gridCol w:w="1020"/>
        <w:gridCol w:w="8334"/>
      </w:tblGrid>
      <w:tr>
        <w:trPr>
          <w:cantSplit/>
          <w:tblHeader/>
        </w:trPr>
        <w:tc>
          <w:tcPr>
            <w:tcW w:type="dxa" w:w="1020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Код</w:t>
            </w:r>
          </w:p>
        </w:tc>
        <w:tc>
          <w:tcPr>
            <w:tcW w:type="dxa" w:w="8334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Требование</w:t>
            </w:r>
          </w:p>
        </w:tc>
      </w:tr>
      <w:tr>
        <w:trPr>
          <w:cantSplit/>
        </w:trPr>
        <w:tc>
          <w:tcPr>
            <w:tcW w:type="dxa" w:w="9354"/>
            <w:gridSpan w:val="2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Требования к архитектуре системы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А-1</w:t>
            </w:r>
          </w:p>
        </w:tc>
        <w:tc>
          <w:tcPr>
            <w:tcW w:type="dxa" w:w="833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Веб-приложение на одном компьютере: серверная часть Python (Flask), интерфейс в браузере, СУБД SQLite (один файл)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А-2</w:t>
            </w:r>
          </w:p>
        </w:tc>
        <w:tc>
          <w:tcPr>
            <w:tcW w:type="dxa" w:w="833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Сервер принимает подключения только с этого компьютера (127.0.0.1)</w:t>
            </w:r>
          </w:p>
        </w:tc>
      </w:tr>
      <w:tr>
        <w:trPr>
          <w:cantSplit/>
        </w:trPr>
        <w:tc>
          <w:tcPr>
            <w:tcW w:type="dxa" w:w="9354"/>
            <w:gridSpan w:val="2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Требования к параметрам оборудования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О-1</w:t>
            </w:r>
          </w:p>
        </w:tc>
        <w:tc>
          <w:tcPr>
            <w:tcW w:type="dxa" w:w="833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Компьютер под Windows 10/11 x64, 2 ГБ свободной оперативной памяти, 200 МБ на диске; браузер последней версии</w:t>
            </w:r>
          </w:p>
        </w:tc>
      </w:tr>
      <w:tr>
        <w:trPr>
          <w:cantSplit/>
        </w:trPr>
        <w:tc>
          <w:tcPr>
            <w:tcW w:type="dxa" w:w="9354"/>
            <w:gridSpan w:val="2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Требования к параметрам системы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П-1</w:t>
            </w:r>
          </w:p>
        </w:tc>
        <w:tc>
          <w:tcPr>
            <w:tcW w:type="dxa" w:w="833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Оценка заявки — не более 1 с; открытие страницы — не более 1 с при 10 000 заявок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П-2</w:t>
            </w:r>
          </w:p>
        </w:tc>
        <w:tc>
          <w:tcPr>
            <w:tcW w:type="dxa" w:w="833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Установка на новый компьютер без интернета — не более 10 минут</w:t>
            </w:r>
          </w:p>
        </w:tc>
      </w:tr>
      <w:tr>
        <w:trPr>
          <w:cantSplit/>
        </w:trPr>
        <w:tc>
          <w:tcPr>
            <w:tcW w:type="dxa" w:w="9354"/>
            <w:gridSpan w:val="2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Требования к программному интерфейсу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И-1</w:t>
            </w:r>
          </w:p>
        </w:tc>
        <w:tc>
          <w:tcPr>
            <w:tcW w:type="dxa" w:w="833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Программный интерфейс для внешних систем не предусматривается; данные доступны в файле SQLite для выгрузки стандартными средствами</w:t>
            </w:r>
          </w:p>
        </w:tc>
      </w:tr>
      <w:tr>
        <w:trPr>
          <w:cantSplit/>
        </w:trPr>
        <w:tc>
          <w:tcPr>
            <w:tcW w:type="dxa" w:w="9354"/>
            <w:gridSpan w:val="2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Требования к структуре системы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Р-1</w:t>
            </w:r>
          </w:p>
        </w:tc>
        <w:tc>
          <w:tcPr>
            <w:tcW w:type="dxa" w:w="833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Модульность: правила оценки (модуль logic.py) отделены от обработчиков страниц (app.py) и работы с БД (db.py)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Р-2</w:t>
            </w:r>
          </w:p>
        </w:tc>
        <w:tc>
          <w:tcPr>
            <w:tcW w:type="dxa" w:w="833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Открытость: при росте Организации данные переносятся в полную редакцию системы</w:t>
            </w:r>
          </w:p>
        </w:tc>
      </w:tr>
      <w:tr>
        <w:trPr>
          <w:cantSplit/>
        </w:trPr>
        <w:tc>
          <w:tcPr>
            <w:tcW w:type="dxa" w:w="9354"/>
            <w:gridSpan w:val="2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Требования к надёжности, безопасности и удобству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Н-1</w:t>
            </w:r>
          </w:p>
        </w:tc>
        <w:tc>
          <w:tcPr>
            <w:tcW w:type="dxa" w:w="833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Резервная копия — копия файла creditdss.db; программа не теряет данные при закрытии окна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Б-1</w:t>
            </w:r>
          </w:p>
        </w:tc>
        <w:tc>
          <w:tcPr>
            <w:tcW w:type="dxa" w:w="833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Хранение паролей в виде хэша; ключ подписи сессии создаётся случайным при первом запуске; данные не покидают компьютер Организации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У-1</w:t>
            </w:r>
          </w:p>
        </w:tc>
        <w:tc>
          <w:tcPr>
            <w:tcW w:type="dxa" w:w="833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Интерфейс на русском языке; формы и таблицы выровнены по центру страницы; обучение пользователя — не более 1 часа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4.7 Аттестация требований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Аттестация требований выполнялась с целью убедиться, что требования действительно определяют систему, которую хочет получить заказчик. Были выбраны следующие типы проверок: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проверка правильности требований — каждое требование сопоставлено с потребностями конкретной точки зрения;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проверка на непротиворечивость — выявление требований, противоречащих друг другу;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проверка на полноту — каждому сервису из диаграммы идентификации точек зрения поставлено в соответствие хотя бы одно требование;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проверка на выполнимость — оценка возможности реализации требований с учётом бюджета, сроков и выбранных технологий;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проверка на проверяемость — для каждого требования определён способ его тестирования (критерий приёмки).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В качестве методов аттестации использовались обзор требований (совместный просмотр с представителями заказчика), прототипирование пользовательского интерфейса и генерация тестовых сценариев. Результаты аттестации приведены в таблице 4.8.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4.8 – Результаты аттестации требований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4.8|0"/>
      </w:tblPr>
      <w:tblGrid>
        <w:gridCol w:w="2041"/>
        <w:gridCol w:w="1928"/>
        <w:gridCol w:w="5386"/>
      </w:tblGrid>
      <w:tr>
        <w:trPr>
          <w:cantSplit/>
          <w:tblHeader/>
        </w:trPr>
        <w:tc>
          <w:tcPr>
            <w:tcW w:type="dxa" w:w="204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Тип проверки</w:t>
            </w:r>
          </w:p>
        </w:tc>
        <w:tc>
          <w:tcPr>
            <w:tcW w:type="dxa" w:w="192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Метод</w:t>
            </w:r>
          </w:p>
        </w:tc>
        <w:tc>
          <w:tcPr>
            <w:tcW w:type="dxa" w:w="5386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Выявленные замечания и принятые решения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Правильность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Обзор требований с руководителем Организации</w:t>
            </w:r>
          </w:p>
        </w:tc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Уточнено С-9: для классов C и D снижается сумма, а не только повышается ставка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Непротиворечивость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Обзор, матрица трассировки</w:t>
            </w:r>
          </w:p>
        </w:tc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Требование «работа без интернета» (П-11) противоречило установке пакетов из сети — пакеты включены в дистрибутив (С-15)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Полнота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Сопоставление сервисов точек зрения с требованиями</w:t>
            </w:r>
          </w:p>
        </w:tc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Для сервиса «Причина отказа» точки зрения «Клиент» добавлено требование С-10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Выполнимость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Прототипирование</w:t>
            </w:r>
          </w:p>
        </w:tc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Расчёт оценки на 150 демонстрационных заявках занял менее 0,1 с — требование П-1 выполнимо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Проверяемость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Генерация тестовых сценариев</w:t>
            </w:r>
          </w:p>
        </w:tc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Для С-6…С-9 подготовлены эталонные заявки с заранее рассчитанными ПДН, баллом и классом риска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4.8 Техническое задание на создание программного обеспечения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На основании описания системы (практическая работа № 3), информационной модели, пользовательских и системных требований составлено техническое задание. Структура ТЗ соответствует ГОСТ 34.602-89 «Техническое задание на создание автоматизированной системы».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4.8.1 Общие сведения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Полное наименование системы: информационная система поддержки принятия решений для оценки кредитоспособности физических лиц, базовая редакция. Краткое наименование: «Кредитный скоринг Базовая».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Заказчик: микрофинансовая организация (кредитный потребительский кооператив). Разработчик: группа разработки (3 человека).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Плановые сроки начала и окончания работ: 01.09.2026 — 31.12.2026.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Основания для разработки: решение руководителя Организации об автоматизации оценки заявок; учебный план дисциплины «Программная инженерия».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Источники финансирования: собственные средства заказчика; объём — не более 0,75 млн руб.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Порядок оформления и предъявления результатов: результаты предъявляются поэтапно; система устанавливается на компьютер заказчика и предъявляется для приёмочных испытаний.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4.8.2 Назначение и цели создания системы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Назначение: оценка кредитоспособности заёмщика и поддержка принятия решения по заявке на потребительский заём специалистом Организации.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Цели: оценка заявки за 5 минут после получения кредитного отчёта; единообразная методика; автоматический расчёт ПДН; сохранение истории решений и обоснований; работа без сервера и интернета.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4.8.3 Характеристика объекта автоматизации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Объект автоматизации — процесс рассмотрения заявок на потребительские займы в Организации (1–2 специалиста, 10–20 заявок в день, один компьютер под Windows). Кредитный отчёт получается на веб-портале БКИ; учёт выданных займов ведётся в отдельной учётной программе.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4.8.4 Требования к системе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Требования к системе в целом: состав подсистем — по таблице 3.4 практической работы № 3; требования к архитектуре, параметрам и надёжности — по таблице 4.7.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Требования к функциям (задачам): по таблице 4.6.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Требования к видам обеспечения: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математическое обеспечение — скоринговая карта из семи характеристик, перевод балла в PD по логистической шкале, пять стоп-факторов, расчёт ПДН с аннуитетным платежом;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информационное обеспечение — СУБД SQLite, схема по рисунку 4.3, один файл базы данных;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лингвистическое обеспечение — интерфейс и сообщения на русском языке; языки разработки Python, SQL, HTML;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программное обеспечение — по таблице 3.11 практической работы № 3;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техническое обеспечение — по требованию О-1;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организационное обеспечение — порядок рассмотрения заявки с использованием системы, порядок резервного копирования файла базы данных.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4.8.5 Состав и содержание работ по созданию системы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Работы выполняются по стадиям ГОСТ 34.601-90: формирование требований, техническое задание, технический проект (совмещён с эскизным), рабочая документация, ввод в действие. Календарный план приведён в практической работе № 9-10.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4.8.6 Порядок контроля и приёмки системы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Виды испытаний: предварительные испытания, опытная эксплуатация (1 неделя), приёмочные испытания. Критерии приёмки: выполнение требований высокого приоритета, совпадение оценок эталонных заявок с расчётными, установка на компьютер заказчика без интернета.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4.8.7 Требования к составу и содержанию работ по подготовке объекта автоматизации к вводу системы в действие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Заказчик обеспечивает: компьютер под Windows 10/11 с установленным Python 3.11 или новее, утверждение правил выдачи займов (стоп-факторы, условия по классам риска), обучение специалистов (до 1 часа), порядок копирования файла базы данных.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4.8.8 Требования к документированию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Разрабатываются: руководство пользователя, руководство по эксплуатации (установка, резервное копирование, восстановление), описание методики оценки. Документы оформляются в соответствии с ГОСТ 34.201-89 и РД 50-34.698-90.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4.8.9 Источники разработки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Отчёт об обследовании объекта автоматизации; описание системы и анализ осуществимости (практическая работа № 3); правила выдачи займов Организации; Федеральные законы № 151-ФЗ, 190-ФЗ, 152-ФЗ, 218-ФЗ, 353-ФЗ; ГОСТ 34.601-90, ГОСТ 34.602-89.</w:t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5 Заключение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В ходе работы методом VORD идентифицированы шесть точек зрения на базовую редакцию системы и соответствующие им сервисы, построены диаграммы идентификации и иерархии точек зрения, выполнено документирование ключевых точек зрения, в том числе точки зрения «Эксплуатация без ИТ-специалиста», которая отличает базовую редакцию от полной.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Разработана информационная модель системы, совпадающая со схемой базы данных SQLite; на её основе сформулированы 11 пользовательских и 15 функциональных системных требований, а также требования к архитектуре, оборудованию, параметрам, структуре, надёжности и безопасности. Проведена аттестация требований, по её результатам требования скорректированы. Составлено техническое задание на создание системы в соответствии с ГОСТ 34.602-89.</w:t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6 Список используемой литературы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1. ГОСТ 34.601-90. Информационная технология. Комплекс стандартов на автоматизированные системы. Автоматизированные системы. Стадии создания. — М.: Стандартинформ, 2009.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 ГОСТ 34.602-89. Информационная технология. Комплекс стандартов на автоматизированные системы. Техническое задание на создание автоматизированной системы. — М.: Стандартинформ, 2009.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 ГОСТ Р ИСО/МЭК 12207-2010. Информационная технология. Системная и программная инженерия. Процессы жизненного цикла программных средств. — М.: Стандартинформ, 2011.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 Соммервилл И. Инженерия программного обеспечения. — 6-е изд. — М.: Вильямс, 2002. — 624 с.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5. Вигерс К., Битти Д. Разработка требований к программному обеспечению. — 3-е изд. — М.: Русская редакция; СПб.: БХВ-Петербург, 2014. — 736 с.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6. Сиддики Н. Скоринговые карты для оценки кредитных рисков. Разработка и внедрение интеллектуальных методов кредитного скоринга. — М.: Манн, Иванов и Фербер, 2014. — 272 с.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7. Федеральный закон от 02.07.2010 № 151-ФЗ «О микрофинансовой деятельности и микрофинансовых организациях».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8. Федеральный закон от 18.07.2009 № 190-ФЗ «О кредитной кооперации».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9. Федеральный закон от 30.12.2004 № 218-ФЗ «О кредитных историях».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10. Федеральный закон от 21.12.2013 № 353-ФЗ «О потребительском кредите (займе)».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11. Федеральный закон от 27.07.2006 № 152-ФЗ «О персональных данных».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12. Методические указания по выполнению практических работ по дисциплине «Программная инженерия». Части 1, 2. — Тула: ТулГУ.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Times New Roman" w:hAnsi="Times New Roman" w:cs="Times New Roman" w:eastAsia="Times New Roman"/>
        <w:sz w:val="24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60" w:lineRule="auto" w:before="0" w:after="0"/>
      <w:ind w:firstLine="709"/>
      <w:jc w:val="both"/>
    </w:pPr>
    <w:rPr>
      <w:rFonts w:ascii="Times New Roman" w:hAnsi="Times New Roman" w:cs="Times New Roman" w:eastAsia="Times New Roman"/>
      <w:sz w:val="28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ind w:firstLine="709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120" w:line="360" w:lineRule="auto"/>
      <w:ind w:firstLine="709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