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Министерство науки и высшего образования РФ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Федеральное государственное бюджетное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«Тульский государственный университет»</w:t>
      </w:r>
    </w:p>
    <w:p>
      <w:pPr>
        <w:spacing w:line="276" w:lineRule="auto"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Институт прикладной математики и компьютерных наук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РАЗРАБОТКА ОПИСАНИЯ И АНАЛИЗ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ИНФОРМАЦИОННОЙ СИСТЕМЫ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Отчет по выполнению практической работы № 3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курсу «</w:t>
      </w:r>
      <w:r>
        <w:rPr>
          <w:rFonts w:ascii="Times New Roman" w:hAnsi="Times New Roman" w:cs="Times New Roman" w:eastAsia="Times New Roman"/>
          <w:b/>
          <w:i w:val="0"/>
          <w:sz w:val="28"/>
        </w:rPr>
        <w:t>Программная инженерия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Тема: «Разработка информационной системы поддержки принятия решений для оценки кредитоспособности физических лиц»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Выполнил ст. гр. </w:t>
      </w:r>
      <w:r>
        <w:rPr>
          <w:rFonts w:ascii="Times New Roman" w:hAnsi="Times New Roman" w:cs="Times New Roman" w:eastAsia="Times New Roman"/>
          <w:b w:val="0"/>
          <w:i/>
          <w:sz w:val="28"/>
        </w:rPr>
        <w:t>_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_</w:t>
        <w:tab/>
        <w:t>Фамилия И. О.</w:t>
      </w:r>
    </w:p>
    <w:p>
      <w:pPr>
        <w:spacing w:line="276" w:lineRule="auto" w:after="0"/>
        <w:ind w:firstLine="0"/>
        <w:jc w:val="center"/>
      </w:pPr>
    </w:p>
    <w:p>
      <w:pPr>
        <w:tabs>
          <w:tab w:pos="9354" w:val="right"/>
        </w:tabs>
        <w:spacing w:line="276" w:lineRule="auto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Проверил преп.</w:t>
        <w:tab/>
        <w:t>Лисняк М. В.</w:t>
      </w: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spacing w:line="276" w:lineRule="auto" w:after="0"/>
        <w:ind w:firstLine="0"/>
        <w:jc w:val="center"/>
      </w:pPr>
    </w:p>
    <w:p>
      <w:pPr>
        <w:keepNext w:val="0"/>
        <w:spacing w:line="276" w:lineRule="auto" w:after="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Тула 2026</w:t>
      </w:r>
      <w:r>
        <w:br w:type="page"/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1 Цель работы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Описать и проанализировать информационную систему, распределить роли в группе разработчиков.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2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Объектом автоматизации является процесс рассмотрения заявок на потребительские кредиты физических лиц в отделе розничного кредитования коммерческого банка (далее — Банк). В настоящее время решение о выдаче кредита принимается кредитными специалистами и андеррайтерами на основании анкеты клиента, отчёта бюро кредитных историй (БКИ) и упрощённой балльной методики, реализованной в электронных таблицах.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направлен на создание системы поддержки принятия решений (СППР), которая на основе данных анкеты заёмщика, кредитной истории и внутренних данных Банка рассчитывает оценку кредитоспособности (вероятность дефолта заёмщика) с использованием методов машинного обучения, проверяет формальные стоп-факторы и показатель долговой нагрузки (ПДН) и формирует для сотрудника обоснованную и объяснимую рекомендацию по заявке.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Цели проекта: сократить время рассмотрения заявки, снизить долю проблемной задолженности в новом кредитном портфеле за счёт объективной и воспроизводимой оценки заёмщиков, обеспечить прозрачность и документированность кредитных решений.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Основные проектные ограничения, существенные для управления проектом, приведены в таблице 3.1.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 – Проектные ограничения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0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Бюджетные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не более 1,7 млн руб. (включая фонд оплаты труда группы, страховые взносы, оборудование для обучения моделей и тестовый доступ к сервису БКИ)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 реализации — с 01.09.2026 по 31.12.2026 (4 месяца); ввод в опытную эксплуатацию — до 25.12.2026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|2"/>
      </w:tblPr>
      <w:tblGrid>
        <w:gridCol w:w="2551"/>
        <w:gridCol w:w="6803"/>
      </w:tblGrid>
      <w:tr>
        <w:trPr>
          <w:cantSplit/>
          <w:tblHeader/>
        </w:trPr>
        <w:tc>
          <w:tcPr>
            <w:tcW w:type="dxa" w:w="255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Вид ограничения</w:t>
            </w:r>
          </w:p>
        </w:tc>
        <w:tc>
          <w:tcPr>
            <w:tcW w:type="dxa" w:w="6803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Содержание ограничения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Ресурсные (кадровые)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Группа разработки из трёх человек: руководитель проекта – разработчик, системный аналитик – разработчик, тестер – разработчик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Технологические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Использование свободно распространяемого программного обеспечения (Python, PostgreSQL, Linux); размещение системы во внутреннем контуре Банка без передачи персональных данных во внешние облачные сервисы; интеграция с существующей АБС через её API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Нормативные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Соблюдение требований 152-ФЗ «О персональных данных», 218-ФЗ «О кредитных историях», 353-ФЗ «О потребительском кредите (займе)», требований Банка России к расчёту ПДН, банковской тайны (ст. 26 Федерального закона № 395-1)</w:t>
            </w:r>
          </w:p>
        </w:tc>
      </w:tr>
      <w:tr>
        <w:trPr>
          <w:cantSplit/>
        </w:trPr>
        <w:tc>
          <w:tcPr>
            <w:tcW w:type="dxa" w:w="255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Качественные</w:t>
            </w:r>
          </w:p>
        </w:tc>
        <w:tc>
          <w:tcPr>
            <w:tcW w:type="dxa" w:w="6803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Модель оценки кредитоспособности должна обеспечивать ROC AUC не ниже 0,75 (коэффициент Джини не ниже 0,5) на отложенной выборке; каждое решение должно сопровождаться объяснением значимых факторов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3 Программно-аппаратные средства, используемые при выполнении работы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Перечень программно-аппаратных средств, использованных при выполнении работы, приведён в таблице 3.2.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3.2 – Программно-аппаратные средства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2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Средство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Характеристика и назначение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Персональный компьютер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Процессор x86-64 (4 ядра, 3,0 ГГц), ОЗУ 16 ГБ, SSD 512 ГБ, монитор 24″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Windows 11 Pro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Текстовый редактор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Microsoft Word 2021 — оформление отчёта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Средства моделирования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PlantUML, Python 3.12 (matplotlib) — построение схем и диаграмм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Справочно-правовые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«Гарант», «КонсультантПлюс» — нормативная база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Система контроля версий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Git, GitHub — хранение материалов проекта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4 Описание информационной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4.1 Характеристика объекта автоматизации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Банк осуществляет розничное кредитование физических лиц через сеть дополнительных офисов и онлайн-канал. В отделе розничного кредитования работают 12 кредитных специалистов, 4 андеррайтера и 2 риск-аналитика; в среднем поступает около 250 заявок в рабочий день. Кредитные продукты: потребительский кредит без обеспечения (от 30 тыс. до 3 млн руб., срок от 6 до 84 месяцев), кредит на рефинансирование и кредитная карта.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Существующий процесс рассмотрения заявки выглядит следующим образом. Кредитный специалист вносит анкетные данные клиента в АБС и вручную формирует запрос в БКИ через веб-портал бюро. Полученный кредитный отчёт в формате PDF анализируется андеррайтером, который переносит ключевые показатели в электронную таблицу с балльной методикой, рассчитывает долговую нагрузку и принимает решение. Решения по суммам свыше лимита полномочий андеррайтера выносятся на кредитный комитет.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Текущие проблемы, выявленные в ходе обследования объекта автоматизации: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длительное рассмотрение заявки — в среднем 1,5–2 рабочих дня, что приводит к уходу клиентов к конкурентам;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субъективность решений: разные андеррайтеры по-разному оценивают одинаковые заявки, методика не учитывает нелинейные взаимосвязи факторов;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высокая доля проблемной задолженности в новом портфеле (просрочка более 90 дней по кредитам, выданным в течение года, — около 7 %);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ручной перенос данных из отчёта БКИ и анкеты, ошибки ввода;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отсутствие единого хранилища истории заявок и решений, что не позволяет анализировать эффективность методики и обучать модели;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трудоёмкий расчёт ПДН и подготовка отчётности для руководства и регулятора.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4.2 Назначение и цели создания системы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предназначена для автоматизации сбора данных о заёмщике, оценки его кредитоспособности с использованием методов машинного обучения и поддержки принятия решения по кредитной заявке сотрудниками Банка. Окончательное решение остаётся за сотрудником (андеррайтером или кредитным комитетом); система формирует рекомендацию, рассчитывает рекомендуемые условия кредита и объясняет, какие факторы повлияли на оценку.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Цели создания системы: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сокращение среднего времени рассмотрения заявки до 30 минут для типовых заявок;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доли проблемной задолженности в новом портфеле не менее чем на 20 % за счёт более точной оценки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обеспечение единообразия и воспроизводимости кредитных решений, сохранение их обоснования;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автоматический расчёт показателя долговой нагрузки по требованиям Банка России;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накопление данных о заявках, решениях и обслуживании кредитов для дальнейшего обучения и мониторинга моделей.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4.3 Пользователи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Категории пользователей системы и их задачи приведены в таблице 3.3.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3.3 – Пользователи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3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Категория пользователей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Задачи, решаемые с помощью системы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Кредитный специалист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Регистрация заявки и анкетных данных клиента, загрузка копий документов, запуск оценки, информирование клиента о решении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Андеррайтер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Анализ кредитного досье и результатов скоринга, принятие решения в пределах лимита полномочий, корректировка условий кредита, запрос дополнительных документов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кредитного отдела (член кредитного комитета)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решений сверх лимита полномочий андеррайтера, просмотр аналитических отчётов по заявкам и портфелю, настройка лимитов полномочий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Риск-аналитик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обучающих выборок, обучение и валидация моделей, публикация утверждённой версии модели, мониторинг качества моделей, настройка стоп-факторов и порогов отсечения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 системы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учётными записями и ролями, ведение справочников, контроль журнала аудита, резервное копирование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4.4 Функции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должна выполнять следующие основные функции: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1) регистрация кредитной заявки и анкетных данных клиента, фиксация согласий на обработку персональных данных и запрос кредитного отчёта;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2) автоматический запрос кредитного отчёта в БКИ и получение данных о счетах и доходах клиента из АБС;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3) верификация данных: проверка паспорта по базе недействительных паспортов, проверка по стоп-листам и спискам Росфинмониторинга;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4) проверка формальных стоп-факторов кредитной политики (возраст, гражданство, текущая просрочка и т. п.);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5) формирование признаков (feature engineering) на основе анкеты и кредитной истории;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6) расчёт вероятности дефолта (PD) заёмщика с помощью модели машинного обучения и присвоение класса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7) расчёт показателя долговой нагрузки (ПДН);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8) формирование рекомендации (одобрить / отказать / одобрить на изменённых условиях) с указанием рекомендуемой суммы, срока и ставки;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9) объяснение результата скоринга — перечень факторов, в наибольшей степени повлиявших на оценку;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10) фиксация решения сотрудника с маршрутизацией заявки по лимитам полномочий;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11) обучение, валидация, версионирование и публикация моделей; мониторинг качества моделей (Gini, PSI) на новых данных;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12) формирование отчётов по заявкам, решениям и качеству портфеля;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13) администрирование пользователей, ролей, справочников; ведение журнала аудита действий пользователей.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4.5 Структура системы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состоит из подсистем, перечисленных в таблице 3.4.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3.4 – Подсистемы информационной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4|0"/>
      </w:tblPr>
      <w:tblGrid>
        <w:gridCol w:w="2835"/>
        <w:gridCol w:w="6520"/>
      </w:tblGrid>
      <w:tr>
        <w:trPr>
          <w:cantSplit/>
          <w:tblHeader/>
        </w:trPr>
        <w:tc>
          <w:tcPr>
            <w:tcW w:type="dxa" w:w="283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Подсистема</w:t>
            </w:r>
          </w:p>
        </w:tc>
        <w:tc>
          <w:tcPr>
            <w:tcW w:type="dxa" w:w="6520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 и состав функций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Приём и учёт заявок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Ввод и редактирование заявок, анкет, документов и согласий; поиск и просмотр заявок; жизненный цикл заявки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Сбор и верификация данных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с БКИ и АБС, проверка паспорта и стоп-листов, формирование кредитного досье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Скоринг (ML-модуль)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Проверка стоп-факторов, формирование признаков, расчёт PD и класса риска, расчёт ПДН, объяснение факторов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Поддержка принятия решений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Формирование рекомендации и условий кредита, маршрутизация по лимитам полномочий, фиксация решения, уведомления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Мониторинг и обучение моделей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выборок, обучение и валидация моделей, реестр версий, мониторинг метрик качества и стабильности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Отчётность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Оперативные и аналитические отчёты по заявкам, решениям, качеству портфеля, выгрузки для руководства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Администрирование</w:t>
            </w:r>
          </w:p>
        </w:tc>
        <w:tc>
          <w:tcPr>
            <w:tcW w:type="dxa" w:w="6520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Пользователи и роли, справочники (продукты, стоп-факторы, лимиты), журнал аудита, резервное копирование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строится по клиент-серверной трёхуровневой архитектуре: клиентская часть — веб-интерфейс автоматизированного рабочего места (АРМ) сотрудника, серверная часть — набор сервисов на языке Python (REST API), уровень данных — реляционная СУБД PostgreSQL и реестр моделей машинного обучения. Скоринговая модель оформляется как отдельный сервис, что позволяет обновлять модель без остановки остальных подсистем. Обобщённая архитектура системы приведена на рисунке 3.1.</w:t>
      </w:r>
    </w:p>
    <w:p>
      <w:pPr>
        <w:keepNext/>
        <w:spacing w:line="240" w:lineRule="auto"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979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3_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97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3.1 – Обобщённая архитектура системы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4.6 Информационное обеспечение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Информационное обеспечение системы включает следующие основные группы данных: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сведения о клиентах (персональные данные, паспортные данные, контактная информация, сведения о занятости и доходах);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кредитные заявки (продукт, сумма, срок, цель кредита, канал поступления, статус);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кредитные отчёты БКИ (действующие и закрытые кредиты, просрочки, ежемесячные платежи, количество запросов);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результаты скоринга (вероятность дефолта, класс риска, ПДН, сработавшие стоп-факторы, вклад факторов);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решения по заявкам и данные о последующем обслуживании кредитов (для формирования целевой переменной при обучении моделей);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модели машинного обучения и их метаданные (версия, алгоритм, метрики, период обучения, статус);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нормативно-справочная информация: кредитные продукты, стоп-факторы, лимиты полномочий, классы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журнал аудита действий пользователей.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4.7 Интеграция с внешними системами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бюро кредитных историй — получение кредитного отчёта по защищённому каналу (запрос формируется только при наличии согласия субъекта кредитной истории);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автоматизированная банковская система (АБС) — получение данных о счетах, зарплатных поступлениях и действующих кредитах клиента в Банке, передача одобренных заявок для оформления договора;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служба каталогов (Active Directory / LDAP) — аутентификация сотрудников;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почтовый сервер / SMS-шлюз — уведомление клиентов о решении.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4.8 Модуль машинного обучения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Ядром системы является модель оценки вероятности дефолта (PD-модель). Целевая переменная — наличие просрочки более 90 дней в течение 12 месяцев с даты выдачи кредита. В качестве базовой модели используется логистическая регрессия на WoE-преобразованных признаках (классическая скоринговая карта, хорошо интерпретируемая и привычная для риск-менеджмента), в качестве основной — градиентный бустинг над деревьями решений (CatBoost / LightGBM), который учитывает нелинейные зависимости и взаимодействия признаков.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объяснения прогноза используются значения Шепли (SHAP): для каждой заявки система показывает пять факторов, сильнее всего повысивших и понизивших оценку риска. Качество модели контролируется по метрикам ROC AUC / Gini, а стабильность входных данных — по индексу стабильности популяции (PSI). При падении качества ниже порога риск-аналитик инициирует переобучение модели; новая версия публикуется только после валидации и утверждения.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5 Анализ осуществимости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Анализ осуществимости проводился на основе описания системы, результатов обследования объекта автоматизации и интервью с потенциальными пользователями. Источниками информации послужили: руководитель отдела розничного кредитования, андеррайтеры и кредитные специалисты (интервью и анкетирование), риск-аналитики, сотрудники ИТ-подразделения Банка, действующие внутренние регламенты кредитования, а также обезличенная выборка исторических заявок за три года.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5.1 Что произойдёт с организацией, если система не будет введена в эксплуатацию?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Без внедрения системы Банк продолжит рассматривать заявки вручную. Время рассмотрения (1,5–2 дня) останется неконкурентным: большинство крупных банков принимают решение по типовой заявке за несколько минут. По оценке отдела, Банк теряет до 25 % потенциальных заёмщиков, не дождавшихся решения.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Сохранится субъективность оценки и высокий уровень проблемной задолженности, что ведёт к росту резервов на возможные потери по ссудам и снижению прибыли. Рост объёма заявок потребует увеличения штата андеррайтеров. Кроме того, отсутствие истории решений не позволит Банку перейти к моделям, основанным на собственных данных, что в перспективе снижает конкурентоспособность Банка на рынке розничного кредитования.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5.2 Какие текущие проблемы существуют в организации и как новая система поможет их решить?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Соответствие текущих проблем и способов их решения приведено в таблице 3.5.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3.5 – Проблемы организации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5|0"/>
      </w:tblPr>
      <w:tblGrid>
        <w:gridCol w:w="2608"/>
        <w:gridCol w:w="2948"/>
        <w:gridCol w:w="379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Проблема</w:t>
            </w:r>
          </w:p>
        </w:tc>
        <w:tc>
          <w:tcPr>
            <w:tcW w:type="dxa" w:w="294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79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Как система решает проблему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Длительное рассмотрение заявок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Потеря клиентов, снижение объёма выдач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сбор данных из БКИ и АБС, мгновенный расчёт оценки; для типовых заявок — решение в течение 30 минут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Субъективность и непоследовательность решений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Разные решения по сходным заявкам, рост рисков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Единая модель оценки и формализованные стоп-факторы; сотрудник видит рекомендацию и её обоснование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 доля проблемной задолженности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Рост резервов, прямые потери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ML-модель, учитывающая нелинейные взаимосвязи факторов, точнее ранжирует заёмщиков по риску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Ручной перенос данных и ошибки ввода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Неверные оценки, трудозатраты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Автоматическое получение и разбор кредитного отчёта, проверки корректности данных при вводе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Нет истории заявок и решений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Невозможно оценить эффективность методики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Единая база заявок, решений и данных об обслуживании кредитов; отчёты о качестве модели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Трудоёмкий расчёт ПДН и отчётность</w:t>
            </w:r>
          </w:p>
        </w:tc>
        <w:tc>
          <w:tcPr>
            <w:tcW w:type="dxa" w:w="294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 нарушения требований регулятора</w:t>
            </w:r>
          </w:p>
        </w:tc>
        <w:tc>
          <w:tcPr>
            <w:tcW w:type="dxa" w:w="379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Автоматический расчёт ПДН по каждой заявке, готовые отчёты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5.3 Каким образом система будет способствовать целям бизнеса?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непосредственно поддерживает стратегические цели Банка в сегменте розничного кредитования: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рост объёма кредитного портфеля — за счёт сокращения времени принятия решения и увеличения доли одобренных «хороших» заявок;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кредитных потерь — за счёт более точного ранжирования заёмщиков по уровню риска;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снижение операционных расходов — один андеррайтер сможет обрабатывать в 2–3 раза больше заявок;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соответствие требованиям регулятора — документированность решений, корректный расчёт ПДН, защита персональных данных;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– развитие компетенций в области анализа данных — накопленные данные и инфраструктура моделей могут использоваться для других задач (оценка риска оттока, предодобренные предложения).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5.4 Требует ли разработка системы технологии, которая до этого не использовалась в организации?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Да, разработка системы требует технологий, которые ранее в Банке не применялись: промышленное использование моделей машинного обучения (обучение, версионирование, развёртывание моделей в виде сервиса, мониторинг их качества), методов интерпретации моделей (SHAP), а также автоматизированной интеграции с API бюро кредитных историй.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Для снижения технологических рисков используются распространённые свободно распространяемые библиотеки (scikit-learn, CatBoost, SHAP, MLflow), имеющие обширную документацию; на первом этапе в качестве эталона внедряется интерпретируемая логистическая регрессия; для риск-аналитиков проводится обучение работе с реестром моделей. Остальные технологии (веб-приложение, PostgreSQL, Linux) уже используются ИТ-подразделением Банка.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5.5 Оценка осуществимости по аспектам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Сводная оценка осуществимости проекта приведена в таблице 3.6.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3.6 – Оценка осуществимости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6|0"/>
      </w:tblPr>
      <w:tblGrid>
        <w:gridCol w:w="2041"/>
        <w:gridCol w:w="1928"/>
        <w:gridCol w:w="5386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Аспект осуществимости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Оценка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Обоснование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Техническая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Используются зрелые технологии; требуемая вычислительная мощность для обучения моделей невелика (выборка — сотни тысяч заявок), достаточно сервера без GPU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Экономическая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Затраты на разработку — около 1,7 млн руб.; снижение потерь по кредитам даже на 0,5 % портфеля и экономия на расширении штата окупают проект в течение первого года эксплуатации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Организационная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Требуется изменение регламента рассмотрения заявок и обучение сотрудников; необходима поддержка руководства отдела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Правовая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Обработка данных ведётся на основании согласий клиентов; система размещается во внутреннем контуре Банка, решение принимает сотрудник, что соответствует требованиям законодательства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Временная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Работы укладываются в срок 4 месяца при параллельном выполнении разработки модели и прикладной части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Данные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Осуществим с условиями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Имеется история заявок за 3 года; требуется очистка данных и сопоставление заявок с данными об обслуживании кредитов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5.6 Возможные проблемы и пути их решения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3.7 – Возможные проблемы реализации проекта и пути их решения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0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Недостаточное качество исторических данных (пропуски, ошибки, разные форматы)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Выделить этап подготовки данных; разработать правила очистки; использовать алгоритмы, устойчивые к пропускам (градиентный бустинг)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Смещение выборки: исход известен только по одобренным заявкам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Применить методы reject inference (восстановление исхода по отклонённым заявкам) и консервативные пороги на первом этапе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Недоверие сотрудников к «чёрному ящику»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Показывать объяснение факторов (SHAP), использовать интерпретируемую базовую модель, проводить обучение пользователей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формата API бюро кредитных историй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Изолировать интеграцию в отдельном адаптере, покрыть автотестами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Деградация модели при изменении экономической ситуации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Ежемесячный мониторинг PSI и Gini, регламент переобучения модели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3.7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7|5"/>
      </w:tblPr>
      <w:tblGrid>
        <w:gridCol w:w="3685"/>
        <w:gridCol w:w="5669"/>
      </w:tblGrid>
      <w:tr>
        <w:trPr>
          <w:cantSplit/>
          <w:tblHeader/>
        </w:trPr>
        <w:tc>
          <w:tcPr>
            <w:tcW w:type="dxa" w:w="368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Возможная проблема</w:t>
            </w:r>
          </w:p>
        </w:tc>
        <w:tc>
          <w:tcPr>
            <w:tcW w:type="dxa" w:w="566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Путь решения</w:t>
            </w:r>
          </w:p>
        </w:tc>
      </w:tr>
      <w:tr>
        <w:trPr>
          <w:cantSplit/>
        </w:trPr>
        <w:tc>
          <w:tcPr>
            <w:tcW w:type="dxa" w:w="368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Утечка персональных данных</w:t>
            </w:r>
          </w:p>
        </w:tc>
        <w:tc>
          <w:tcPr>
            <w:tcW w:type="dxa" w:w="566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Разграничение доступа по ролям, шифрование каналов связи, журнал аудита, обезличивание данных при обучении моделей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5.7 Заключение о возможности реализации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По результатам анализа сделан вывод о том, что проект осуществим и целесообразен. Рекомендуется продолжить разработку системы со следующими базовыми предложениями: бюджет — 1,7 млн руб.; группа разработки — 3 человека; срок — 4 месяца (01.09.2026–31.12.2026) с вводом в опытную эксплуатацию до 25.12.2026; программное обеспечение — свободно распространяемое (Python, FastAPI, CatBoost, scikit-learn, SHAP, MLflow, PostgreSQL, React, Docker, Linux).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Рекомендуется реализовать систему поэтапно: сначала подсистемы приёма заявок, интеграции с БКИ и скоринга с интерпретируемой моделью, затем — подсистемы мониторинга и переобучения моделей и аналитической отчётности.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6 Роли участников группы разработки ПО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группой из трёх человек. Каждый участник, помимо своей основной роли, участвует в разработке программного кода, что соответствует распределению ролей «руководитель проекта – разработчик», «системный аналитик – разработчик», «тестер – разработчик». Распределение ролей приведено в таблице 3.8.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3.8 – Роли участников группы разработки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8|0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Обязанности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Руководитель проекта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1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Планирование и контроль работ, взаимодействие с заказчиком, управление рисками, проектирование архитектуры, разработка серверной части и интеграций с БКИ и АБС, подготовка документации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Системный аналитик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2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объекта, сбор и анализ требований, разработка ТЗ, информационной модели, подготовка данных, разработка и обучение моделей машинного обучения, сервис скоринга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3.8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8|2"/>
      </w:tblPr>
      <w:tblGrid>
        <w:gridCol w:w="2381"/>
        <w:gridCol w:w="1587"/>
        <w:gridCol w:w="5386"/>
      </w:tblGrid>
      <w:tr>
        <w:trPr>
          <w:cantSplit/>
          <w:tblHeader/>
        </w:trPr>
        <w:tc>
          <w:tcPr>
            <w:tcW w:type="dxa" w:w="238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Роль</w:t>
            </w:r>
          </w:p>
        </w:tc>
        <w:tc>
          <w:tcPr>
            <w:tcW w:type="dxa" w:w="158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</w:t>
            </w:r>
          </w:p>
        </w:tc>
        <w:tc>
          <w:tcPr>
            <w:tcW w:type="dxa" w:w="5386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Обязанности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Тестер – разработчик</w:t>
            </w:r>
          </w:p>
        </w:tc>
        <w:tc>
          <w:tcPr>
            <w:tcW w:type="dxa" w:w="158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Участник 3</w:t>
            </w:r>
          </w:p>
        </w:tc>
        <w:tc>
          <w:tcPr>
            <w:tcW w:type="dxa" w:w="5386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плана и сценариев тестирования, функциональное, интеграционное и нагрузочное тестирование, разработка клиентской части (интерфейса АРМ), автоматизация тестов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7 План проекта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7.1 Введение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Целью проекта является создание и ввод в опытную эксплуатацию системы поддержки принятия решений для оценки кредитоспособности физических лиц. Проектные ограничения: бюджет — не более 1,7 млн руб., срок — с 01.09.2026 по 31.12.2026, состав группы — 3 человека. Критерии успеха проекта: ROC AUC модели не ниже 0,75, время обработки заявки системой не более 10 секунд, успешное прохождение приёмочных испытаний.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7.2 Организация выполнения проекта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Проект выполняется силами группы разработки из трёх человек с распределением ролей, приведённым в разделе 6. Со стороны заказчика назначаются ответственный за проект (руководитель отдела розничного кредитования) и эксперт предметной области (ведущий андеррайтер). Используется итеративный подход: по завершении каждого этапа проводится демонстрация результатов заказчику. Статус проекта обсуждается на еженедельных совещаниях группы.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Укрупнённый план работ с распределением исполнителей приведён в таблице 3.9.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3.9 – Укрупнённый план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9|0"/>
      </w:tblPr>
      <w:tblGrid>
        <w:gridCol w:w="567"/>
        <w:gridCol w:w="4819"/>
        <w:gridCol w:w="2041"/>
        <w:gridCol w:w="1928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Обследование объекта и формирование требований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01.09–14.09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технического задания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15.09–24.09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Подготовка и анализ данных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25.09–10.10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3.9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9|3"/>
      </w:tblPr>
      <w:tblGrid>
        <w:gridCol w:w="567"/>
        <w:gridCol w:w="4819"/>
        <w:gridCol w:w="2041"/>
        <w:gridCol w:w="1928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№</w:t>
            </w:r>
          </w:p>
        </w:tc>
        <w:tc>
          <w:tcPr>
            <w:tcW w:type="dxa" w:w="481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Этап</w:t>
            </w:r>
          </w:p>
        </w:tc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Срок</w:t>
            </w:r>
          </w:p>
        </w:tc>
        <w:tc>
          <w:tcPr>
            <w:tcW w:type="dxa" w:w="192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Ответственный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4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Проектирование архитектуры, БД и интерфейса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25.09–06.10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обучение скоринговой модели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11.10–03.11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серверной и клиентской частей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07.10–07.11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ТР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Интеграция модели, тестирование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08.11–03.12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СА, ТР, РП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</w:t>
            </w:r>
          </w:p>
        </w:tc>
        <w:tc>
          <w:tcPr>
            <w:tcW w:type="dxa" w:w="481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Документация, опытная эксплуатация и приёмка</w:t>
            </w:r>
          </w:p>
        </w:tc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18.11–17.12</w:t>
            </w:r>
          </w:p>
        </w:tc>
        <w:tc>
          <w:tcPr>
            <w:tcW w:type="dxa" w:w="192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РП, СА, ТР</w:t>
            </w:r>
          </w:p>
        </w:tc>
      </w:tr>
    </w:tbl>
    <w:p>
      <w:pPr>
        <w:spacing w:line="240" w:lineRule="auto"/>
      </w:pP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Базовое предложение по бюджету проекта приведено в таблице 3.10.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3.10 – Предварительная смета затрат на разработку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0|0"/>
      </w:tblPr>
      <w:tblGrid>
        <w:gridCol w:w="3118"/>
        <w:gridCol w:w="4252"/>
        <w:gridCol w:w="1984"/>
      </w:tblGrid>
      <w:tr>
        <w:trPr>
          <w:cantSplit/>
          <w:tblHeader/>
        </w:trPr>
        <w:tc>
          <w:tcPr>
            <w:tcW w:type="dxa" w:w="311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Статья затрат</w:t>
            </w:r>
          </w:p>
        </w:tc>
        <w:tc>
          <w:tcPr>
            <w:tcW w:type="dxa" w:w="4252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Расчёт</w:t>
            </w:r>
          </w:p>
        </w:tc>
        <w:tc>
          <w:tcPr>
            <w:tcW w:type="dxa" w:w="1984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Сумма, руб.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руководителя проекта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системного аналитика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80 000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320 000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Оплата труда тестера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70 000 руб. ×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Страховые взносы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30 % от фонда оплаты труда (960 000 руб.)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288 000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 для обучения моделей и тестовый стенд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сервер (32 ядра, 128 ГБ ОЗУ)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180 000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Тестовый доступ к API БКИ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Подписка на 4 мес.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60 000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Накладные расходы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10 % от фонда оплаты труда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96 000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Резерв на риски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5 % от суммы прочих статей</w:t>
            </w:r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79 200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Итого</w:t>
            </w:r>
          </w:p>
        </w:tc>
        <w:tc>
          <w:tcPr>
            <w:tcW w:type="dxa" w:w="4252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</w:p>
        </w:tc>
        <w:tc>
          <w:tcPr>
            <w:tcW w:type="dxa" w:w="1984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1 663 200</w:t>
            </w:r>
          </w:p>
        </w:tc>
      </w:tr>
    </w:tbl>
    <w:p>
      <w:pPr>
        <w:spacing w:line="240" w:lineRule="auto"/>
      </w:pP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Итоговая сумма затрат (1 663 200 руб.) не превышает установленного бюджетного ограничения 1,7 млн руб. Программное обеспечение является свободно распространяемым и не требует затрат на лицензии.</w:t>
      </w:r>
    </w:p>
    <w:p>
      <w:pPr>
        <w:keepNext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Требуемое программное обеспечение приведено в таблице 3.11.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3.11 – Программное обеспечение для разработки и эксплуатации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1|0"/>
      </w:tblPr>
      <w:tblGrid>
        <w:gridCol w:w="2608"/>
        <w:gridCol w:w="4479"/>
        <w:gridCol w:w="226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447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Операционная система серверов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Astra Linux Special Edition / Ubuntu Server 24.04 LTS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Коммерческая / свободная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СУБД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16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PostgreSQL License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Серверная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Python 3.12, FastAPI, SQLAlchemy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BSD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Машинное обучение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scikit-learn, CatBoost, LightGBM, SHAP, pandas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BSD, Apache 2.0, 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Управление моделями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MLflow (реестр моделей, эксперименты)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Клиентская часть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TypeScript, React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Контейнеризация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Docker, Docker Compose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Apache 2.0</w:t>
            </w:r>
          </w:p>
        </w:tc>
      </w:tr>
    </w:tbl>
    <w:p>
      <w:pPr>
        <w:keepNext/>
        <w:ind w:firstLine="0"/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Продолжение таблицы 3.11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1|7"/>
      </w:tblPr>
      <w:tblGrid>
        <w:gridCol w:w="2608"/>
        <w:gridCol w:w="4479"/>
        <w:gridCol w:w="2268"/>
      </w:tblGrid>
      <w:tr>
        <w:trPr>
          <w:cantSplit/>
          <w:tblHeader/>
        </w:trPr>
        <w:tc>
          <w:tcPr>
            <w:tcW w:type="dxa" w:w="260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Назначение</w:t>
            </w:r>
          </w:p>
        </w:tc>
        <w:tc>
          <w:tcPr>
            <w:tcW w:type="dxa" w:w="4479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Программное обеспечение</w:t>
            </w:r>
          </w:p>
        </w:tc>
        <w:tc>
          <w:tcPr>
            <w:tcW w:type="dxa" w:w="226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Лицензия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Разработка и контроль версий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VS Code / PyCharm Community, Git, GitLab CE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Тестирование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pytest, Playwright, Locust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MIT, Apache 2.0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Мониторинг</w:t>
            </w:r>
          </w:p>
        </w:tc>
        <w:tc>
          <w:tcPr>
            <w:tcW w:type="dxa" w:w="4479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Prometheus, Grafana</w:t>
            </w:r>
          </w:p>
        </w:tc>
        <w:tc>
          <w:tcPr>
            <w:tcW w:type="dxa" w:w="226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Apache 2.0, AGPL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sz w:val="28"/>
        </w:rPr>
        <w:t>7.3 Анализ рисков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При анализе рисков для каждого риска определены вероятность его проявления, возможные последствия и мероприятия по снижению риска. Результаты приведены в таблице 3.12.</w:t>
      </w:r>
    </w:p>
    <w:p>
      <w:pPr>
        <w:keepNext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3.12 – Анализ рисков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aption w:val="3.12|0"/>
      </w:tblPr>
      <w:tblGrid>
        <w:gridCol w:w="2041"/>
        <w:gridCol w:w="1701"/>
        <w:gridCol w:w="2438"/>
        <w:gridCol w:w="3175"/>
      </w:tblGrid>
      <w:tr>
        <w:trPr>
          <w:cantSplit/>
          <w:tblHeader/>
        </w:trPr>
        <w:tc>
          <w:tcPr>
            <w:tcW w:type="dxa" w:w="204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Риск</w:t>
            </w:r>
          </w:p>
        </w:tc>
        <w:tc>
          <w:tcPr>
            <w:tcW w:type="dxa" w:w="1701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Вероятность</w:t>
            </w:r>
          </w:p>
        </w:tc>
        <w:tc>
          <w:tcPr>
            <w:tcW w:type="dxa" w:w="2438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Последствия</w:t>
            </w:r>
          </w:p>
        </w:tc>
        <w:tc>
          <w:tcPr>
            <w:tcW w:type="dxa" w:w="3175"/>
          </w:tcPr>
          <w:p>
            <w:pPr>
              <w:keepNext/>
              <w:widowControl w:val="0"/>
              <w:spacing w:line="240" w:lineRule="auto" w:after="0"/>
              <w:ind w:firstLine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Мероприятия по снижению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Низкое качество исторических данных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Высокая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Снижение точности модели, задержка этапа обучения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Ранний анализ данных, правила очистки, резерв времени на этапе подготовки данных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Изменение требований заказчика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Переделка функций, срыв сроков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Утверждение ТЗ, процедура управления изменениями, итеративные демонстрации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предоставления доступа к API БКИ и АБС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Невозможность интеграционного тестирования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Заглушки (mock-сервисы) для разработки, раннее согласование доступа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Уход или болезнь участника группы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Задержка этапов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Взаимозаменяемость (каждый участник — разработчик), документирование кода и решений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Недостаточная точность модели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Средняя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Невыполнение критерия ROC AUC ≥ 0,75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Перебор алгоритмов и признаков, использование внешних данных БКИ, привлечение эксперта</w:t>
            </w:r>
          </w:p>
        </w:tc>
      </w:tr>
      <w:tr>
        <w:trPr>
          <w:cantSplit/>
        </w:trPr>
        <w:tc>
          <w:tcPr>
            <w:tcW w:type="dxa" w:w="204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Несоответствие требованиям защиты персональных данных</w:t>
            </w:r>
          </w:p>
        </w:tc>
        <w:tc>
          <w:tcPr>
            <w:tcW w:type="dxa" w:w="1701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Низкая</w:t>
            </w:r>
          </w:p>
        </w:tc>
        <w:tc>
          <w:tcPr>
            <w:tcW w:type="dxa" w:w="2438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Штрафы, запрет эксплуатации</w:t>
            </w:r>
          </w:p>
        </w:tc>
        <w:tc>
          <w:tcPr>
            <w:tcW w:type="dxa" w:w="3175"/>
          </w:tcPr>
          <w:p>
            <w:pPr>
              <w:widowControl w:val="0"/>
              <w:spacing w:line="240" w:lineRule="auto" w:after="0"/>
              <w:ind w:firstLine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Согласование архитектуры со службой информационной безопасности, разграничение доступа</w:t>
            </w:r>
          </w:p>
        </w:tc>
      </w:tr>
    </w:tbl>
    <w:p>
      <w:pPr>
        <w:spacing w:line="240" w:lineRule="auto"/>
      </w:pP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8 Заключение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составлено подробное описание системы поддержки принятия решений для оценки кредитоспособности физических лиц: определены объект автоматизации, назначение и цели системы, категории пользователей, функции, состав подсистем, информационное обеспечение, внешние интеграции и подход к построению модели машинного обучения.</w:t>
      </w:r>
    </w:p>
    <w:p>
      <w:r>
        <w:rPr>
          <w:rFonts w:ascii="Times New Roman" w:hAnsi="Times New Roman" w:cs="Times New Roman" w:eastAsia="Times New Roman"/>
          <w:b w:val="0"/>
          <w:i w:val="0"/>
          <w:sz w:val="28"/>
        </w:rPr>
        <w:t>Проведён анализ осуществимости проекта по техническому, экономическому, организационному, правовому и временному аспектам, получены ответы на ключевые вопросы анализа. Сделано заключение о возможности реализации проекта с бюджетом около 1,7 млн руб., группой из трёх разработчиков в срок 4 месяца с использованием свободно распространяемого программного обеспечения. Распределены роли в группе разработчиков, заполнены разделы плана проекта «Введение», «Организация выполнения проекта» и «Анализ рисков».</w:t>
      </w:r>
    </w:p>
    <w:p>
      <w:pPr>
        <w:pStyle w:val="Heading1"/>
      </w:pPr>
      <w:r>
        <w:rPr>
          <w:rFonts w:ascii="Times New Roman" w:hAnsi="Times New Roman" w:cs="Times New Roman" w:eastAsia="Times New Roman"/>
          <w:b/>
          <w:i w:val="0"/>
          <w:sz w:val="28"/>
        </w:rPr>
        <w:t>9 Список используемой литературы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ГОСТ 34.601-90. Информационная технология. Комплекс стандартов на автоматизированные системы. Автоматизированные системы. Стадии создания.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ГОСТ 34.602-89. Информационная технология. Комплекс стандартов на автоматизированные системы. Техническое задание на создание автоматизированной системы. — М.: Стандартинформ, 2009.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ГОСТ Р ИСО/МЭК 12207-2010. Информационная технология. Системная и программная инженерия. Процессы жизненного цикла программных средств. — М.: Стандартинформ, 2011.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Соммервилл И. Инженерия программного обеспечения. — 6-е изд. — М.: Вильямс, 2002. — 624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Вигерс К., Битти Д. Разработка требований к программному обеспечению. — 3-е изд. — М.: Русская редакция; СПб.: БХВ-Петербург, 2014. — 736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6. Сиддики Н. Скоринговые карты для оценки кредитных рисков. Разработка и внедрение интеллектуальных методов кредитного скоринга. — М.: Манн, Иванов и Фербер, 2014. — 272 с.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7. Федеральный закон от 30.12.2004 № 218-ФЗ «О кредитных историях».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8. Федеральный закон от 21.12.2013 № 353-ФЗ «О потребительском кредите (займе)».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9. Федеральный закон от 27.07.2006 № 152-ФЗ «О персональных данных».</w:t>
      </w:r>
    </w:p>
    <w:p>
      <w:pPr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10. Методические указания по выполнению практических работ по дисциплине «Программная инженерия». Части 1, 2. — Тула: ТулГУ.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cs="Times New Roman" w:eastAsia="Times New Roman"/>
      <w:sz w:val="28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709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