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ind w:firstLine="0"/>
        <w:jc w:val="center"/>
      </w:pPr>
      <w:r>
        <w:rPr>
          <w:rFonts w:ascii="Times New Roman" w:hAnsi="Times New Roman" w:cs="Times New Roman" w:eastAsia="Times New Roman"/>
          <w:b w:val="0"/>
          <w:i w:val="0"/>
          <w:sz w:val="28"/>
        </w:rPr>
        <w:t>Министерство науки и высшего образования РФ</w:t>
      </w:r>
    </w:p>
    <w:p>
      <w:pPr>
        <w:spacing w:line="276" w:lineRule="auto" w:after="0"/>
        <w:ind w:firstLine="0"/>
        <w:jc w:val="center"/>
      </w:pPr>
      <w:r>
        <w:rPr>
          <w:rFonts w:ascii="Times New Roman" w:hAnsi="Times New Roman" w:cs="Times New Roman" w:eastAsia="Times New Roman"/>
          <w:b w:val="0"/>
          <w:i w:val="0"/>
          <w:sz w:val="28"/>
        </w:rPr>
        <w:t>Федеральное государственное бюджетное образовательное учреждение высшего образования</w:t>
      </w:r>
    </w:p>
    <w:p>
      <w:pPr>
        <w:spacing w:line="276" w:lineRule="auto" w:after="0"/>
        <w:ind w:firstLine="0"/>
        <w:jc w:val="center"/>
      </w:pPr>
      <w:r>
        <w:rPr>
          <w:rFonts w:ascii="Times New Roman" w:hAnsi="Times New Roman" w:cs="Times New Roman" w:eastAsia="Times New Roman"/>
          <w:b w:val="0"/>
          <w:i w:val="0"/>
          <w:sz w:val="28"/>
        </w:rPr>
        <w:t>«Тульский государственный университет»</w:t>
      </w:r>
    </w:p>
    <w:p>
      <w:pPr>
        <w:spacing w:line="276" w:lineRule="auto" w:after="120"/>
        <w:ind w:firstLine="0"/>
        <w:jc w:val="center"/>
      </w:pPr>
      <w:r>
        <w:rPr>
          <w:rFonts w:ascii="Times New Roman" w:hAnsi="Times New Roman" w:cs="Times New Roman" w:eastAsia="Times New Roman"/>
          <w:b w:val="0"/>
          <w:i w:val="0"/>
          <w:sz w:val="28"/>
        </w:rPr>
        <w:t>Институт прикладной математики и компьютерных наук</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r>
        <w:rPr>
          <w:rFonts w:ascii="Times New Roman" w:hAnsi="Times New Roman" w:cs="Times New Roman" w:eastAsia="Times New Roman"/>
          <w:b/>
          <w:i w:val="0"/>
          <w:sz w:val="28"/>
        </w:rPr>
        <w:t>СТАНДАРТЫ И МЕТОДОЛОГИИ СОЗДАНИЯ И</w:t>
      </w:r>
    </w:p>
    <w:p>
      <w:pPr>
        <w:spacing w:line="276" w:lineRule="auto" w:after="0"/>
        <w:ind w:firstLine="0"/>
        <w:jc w:val="center"/>
      </w:pPr>
      <w:r>
        <w:rPr>
          <w:rFonts w:ascii="Times New Roman" w:hAnsi="Times New Roman" w:cs="Times New Roman" w:eastAsia="Times New Roman"/>
          <w:b/>
          <w:i w:val="0"/>
          <w:sz w:val="28"/>
        </w:rPr>
        <w:t>ЭКСПЛУАТАЦИИ ИНФОРМАЦИОННЫХ СИСТЕМ</w:t>
      </w:r>
    </w:p>
    <w:p>
      <w:pPr>
        <w:spacing w:line="276" w:lineRule="auto" w:after="0"/>
        <w:ind w:firstLine="0"/>
        <w:jc w:val="center"/>
      </w:pPr>
    </w:p>
    <w:p>
      <w:pPr>
        <w:spacing w:line="276" w:lineRule="auto" w:after="0"/>
        <w:ind w:firstLine="0"/>
        <w:jc w:val="center"/>
      </w:pPr>
      <w:r>
        <w:rPr>
          <w:rFonts w:ascii="Times New Roman" w:hAnsi="Times New Roman" w:cs="Times New Roman" w:eastAsia="Times New Roman"/>
          <w:b w:val="0"/>
          <w:i w:val="0"/>
          <w:sz w:val="28"/>
        </w:rPr>
        <w:t>Отчет по выполнению практической работы № 1-2</w:t>
      </w:r>
    </w:p>
    <w:p>
      <w:pPr>
        <w:spacing w:line="276" w:lineRule="auto" w:after="0"/>
        <w:ind w:firstLine="0"/>
        <w:jc w:val="center"/>
      </w:pPr>
      <w:r>
        <w:rPr>
          <w:rFonts w:ascii="Times New Roman" w:hAnsi="Times New Roman" w:cs="Times New Roman" w:eastAsia="Times New Roman"/>
          <w:b w:val="0"/>
          <w:i w:val="0"/>
          <w:sz w:val="28"/>
        </w:rPr>
        <w:t>по курсу «</w:t>
      </w:r>
      <w:r>
        <w:rPr>
          <w:rFonts w:ascii="Times New Roman" w:hAnsi="Times New Roman" w:cs="Times New Roman" w:eastAsia="Times New Roman"/>
          <w:b/>
          <w:i w:val="0"/>
          <w:sz w:val="28"/>
        </w:rPr>
        <w:t>Программная инженерия</w:t>
      </w:r>
      <w:r>
        <w:rPr>
          <w:rFonts w:ascii="Times New Roman" w:hAnsi="Times New Roman" w:cs="Times New Roman" w:eastAsia="Times New Roman"/>
          <w:b w:val="0"/>
          <w:i w:val="0"/>
          <w:sz w:val="28"/>
        </w:rPr>
        <w:t>»</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tabs>
          <w:tab w:pos="9354" w:val="right"/>
        </w:tabs>
        <w:spacing w:line="276" w:lineRule="auto"/>
        <w:ind w:firstLine="0"/>
        <w:jc w:val="left"/>
      </w:pPr>
      <w:r>
        <w:rPr>
          <w:rFonts w:ascii="Times New Roman" w:hAnsi="Times New Roman" w:cs="Times New Roman" w:eastAsia="Times New Roman"/>
          <w:b w:val="0"/>
          <w:i w:val="0"/>
          <w:sz w:val="28"/>
        </w:rPr>
        <w:t xml:space="preserve">Выполнил ст. гр. </w:t>
      </w:r>
      <w:r>
        <w:rPr>
          <w:rFonts w:ascii="Times New Roman" w:hAnsi="Times New Roman" w:cs="Times New Roman" w:eastAsia="Times New Roman"/>
          <w:b w:val="0"/>
          <w:i/>
          <w:sz w:val="28"/>
        </w:rPr>
        <w:t>_</w:t>
      </w:r>
      <w:r>
        <w:rPr>
          <w:rFonts w:ascii="Times New Roman" w:hAnsi="Times New Roman" w:cs="Times New Roman" w:eastAsia="Times New Roman"/>
          <w:b w:val="0"/>
          <w:i w:val="0"/>
          <w:sz w:val="28"/>
        </w:rPr>
        <w:t>_</w:t>
        <w:tab/>
        <w:t>Фамилия И. О.</w:t>
      </w:r>
    </w:p>
    <w:p>
      <w:pPr>
        <w:spacing w:line="276" w:lineRule="auto" w:after="0"/>
        <w:ind w:firstLine="0"/>
        <w:jc w:val="center"/>
      </w:pPr>
    </w:p>
    <w:p>
      <w:pPr>
        <w:tabs>
          <w:tab w:pos="9354" w:val="right"/>
        </w:tabs>
        <w:spacing w:line="276" w:lineRule="auto"/>
        <w:ind w:firstLine="0"/>
        <w:jc w:val="left"/>
      </w:pPr>
      <w:r>
        <w:rPr>
          <w:rFonts w:ascii="Times New Roman" w:hAnsi="Times New Roman" w:cs="Times New Roman" w:eastAsia="Times New Roman"/>
          <w:b w:val="0"/>
          <w:i w:val="0"/>
          <w:sz w:val="28"/>
        </w:rPr>
        <w:t>Проверил преп.</w:t>
        <w:tab/>
        <w:t>Лисняк М. В.</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keepNext w:val="0"/>
        <w:spacing w:line="276" w:lineRule="auto" w:after="0"/>
        <w:ind w:firstLine="0"/>
        <w:jc w:val="center"/>
      </w:pPr>
      <w:r>
        <w:rPr>
          <w:rFonts w:ascii="Times New Roman" w:hAnsi="Times New Roman" w:cs="Times New Roman" w:eastAsia="Times New Roman"/>
          <w:b w:val="0"/>
          <w:i w:val="0"/>
          <w:sz w:val="28"/>
        </w:rPr>
        <w:t>Тула 2026</w:t>
      </w:r>
      <w:r>
        <w:br w:type="page"/>
      </w:r>
    </w:p>
    <w:p>
      <w:pPr>
        <w:pStyle w:val="Heading1"/>
      </w:pPr>
      <w:r>
        <w:rPr>
          <w:rFonts w:ascii="Times New Roman" w:hAnsi="Times New Roman" w:cs="Times New Roman" w:eastAsia="Times New Roman"/>
          <w:b/>
          <w:i w:val="0"/>
          <w:sz w:val="28"/>
        </w:rPr>
        <w:t>Цель работы</w:t>
      </w:r>
    </w:p>
    <w:p>
      <w:r>
        <w:rPr>
          <w:rFonts w:ascii="Times New Roman" w:hAnsi="Times New Roman" w:cs="Times New Roman" w:eastAsia="Times New Roman"/>
          <w:b w:val="0"/>
          <w:i w:val="0"/>
          <w:sz w:val="28"/>
        </w:rPr>
        <w:t>Целью работы является изучение отечественных и зарубежных стандартов и методологий, которые регламентируют разработку, эксплуатацию и аудит информационных систем (ИС).</w:t>
      </w:r>
    </w:p>
    <w:p>
      <w:r>
        <w:rPr>
          <w:rFonts w:ascii="Times New Roman" w:hAnsi="Times New Roman" w:cs="Times New Roman" w:eastAsia="Times New Roman"/>
          <w:b w:val="0"/>
          <w:i w:val="0"/>
          <w:sz w:val="28"/>
        </w:rPr>
        <w:t>Изучение стандартов ведётся с учётом темы, выбранной для последующих работ курса: «Разработка информационной системы поддержки принятия решений для оценки кредитоспособности физических лиц». Для каждой группы документов отмечается, где она будет применяться при создании этой системы.</w:t>
      </w:r>
    </w:p>
    <w:p>
      <w:pPr>
        <w:pStyle w:val="Heading1"/>
      </w:pPr>
      <w:r>
        <w:rPr>
          <w:rFonts w:ascii="Times New Roman" w:hAnsi="Times New Roman" w:cs="Times New Roman" w:eastAsia="Times New Roman"/>
          <w:b/>
          <w:i w:val="0"/>
          <w:sz w:val="28"/>
        </w:rPr>
        <w:t>Выполнение работы</w:t>
      </w:r>
    </w:p>
    <w:p>
      <w:pPr>
        <w:keepNext/>
      </w:pPr>
      <w:r>
        <w:rPr>
          <w:rFonts w:ascii="Times New Roman" w:hAnsi="Times New Roman" w:cs="Times New Roman" w:eastAsia="Times New Roman"/>
          <w:b w:val="0"/>
          <w:i w:val="0"/>
          <w:sz w:val="28"/>
        </w:rPr>
        <w:t>1. Систематизировать комплекс государственных и международных стандартов, регламентирующих процессы разработки ИС, заполнив таблицу 1.1.</w:t>
      </w:r>
    </w:p>
    <w:p>
      <w:pPr>
        <w:keepNext/>
        <w:ind w:firstLine="0"/>
        <w:jc w:val="left"/>
      </w:pPr>
      <w:r>
        <w:rPr>
          <w:rFonts w:ascii="Times New Roman" w:hAnsi="Times New Roman" w:cs="Times New Roman" w:eastAsia="Times New Roman"/>
          <w:b w:val="0"/>
          <w:i w:val="0"/>
          <w:sz w:val="28"/>
        </w:rPr>
        <w:t>Таблица 1.1 – Стандарты по разработке информационных систем</w:t>
      </w:r>
    </w:p>
    <w:tbl>
      <w:tblPr>
        <w:tblStyle w:val="TableGrid"/>
        <w:tblW w:type="auto" w:w="0"/>
        <w:jc w:val="center"/>
        <w:tblLayout w:type="fixed"/>
        <w:tblLook w:firstColumn="1" w:firstRow="1" w:lastColumn="0" w:lastRow="0" w:noHBand="0" w:noVBand="1" w:val="04A0"/>
        <w:tblLayout w:type="fixed"/>
        <w:tblCaption w:val="1.1|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Обозначение стандарта</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 стандарта</w:t>
            </w:r>
          </w:p>
        </w:tc>
      </w:tr>
      <w:tr>
        <w:trPr>
          <w:cantSplit/>
        </w:trPr>
        <w:tc>
          <w:tcPr>
            <w:tcW w:type="dxa" w:w="9355"/>
            <w:gridSpan w:val="2"/>
          </w:tcPr>
          <w:p>
            <w:pPr>
              <w:keepNext/>
              <w:widowControl w:val="0"/>
              <w:spacing w:line="240" w:lineRule="auto" w:after="0"/>
              <w:ind w:firstLine="0"/>
              <w:jc w:val="center"/>
            </w:pPr>
            <w:r/>
            <w:r>
              <w:rPr>
                <w:rFonts w:ascii="Times New Roman" w:hAnsi="Times New Roman" w:cs="Times New Roman" w:eastAsia="Times New Roman"/>
                <w:b w:val="0"/>
                <w:i w:val="0"/>
                <w:sz w:val="24"/>
              </w:rPr>
              <w:t>Российские (стандарты СССР и межгосударственные стандарты)</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34.003-90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Автоматизированные системы. Термины и определения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34.201-89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34.601-90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Автоматизированные системы. Стадии создания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34.602-2020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Комплекс стандартов на автоматизированные системы. Техническое задание на создание автоматизированной системы (заменил ГОСТ 34.602-89)</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34.603-92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Виды испытаний автоматизированных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РД 50-34.698-90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Методические указания. Информационная технология. Комплекс стандартов и руководящих документов на автоматизированные системы. Автоматизированные системы. Требования к содержанию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19.101-77</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Виды программ и программных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19.103-77</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Обозначения программ и программных документов</w:t>
            </w:r>
          </w:p>
        </w:tc>
      </w:tr>
    </w:tbl>
    <w:p>
      <w:pPr>
        <w:keepNext/>
        <w:ind w:firstLine="0"/>
        <w:jc w:val="right"/>
      </w:pPr>
      <w:r>
        <w:rPr>
          <w:rFonts w:ascii="Times New Roman" w:hAnsi="Times New Roman" w:cs="Times New Roman" w:eastAsia="Times New Roman"/>
          <w:b w:val="0"/>
          <w:i w:val="0"/>
          <w:sz w:val="28"/>
        </w:rPr>
        <w:t>Продолжение таблицы 1.1</w:t>
      </w:r>
    </w:p>
    <w:tbl>
      <w:tblPr>
        <w:tblStyle w:val="TableGrid"/>
        <w:tblW w:type="auto" w:w="0"/>
        <w:jc w:val="center"/>
        <w:tblLayout w:type="fixed"/>
        <w:tblLook w:firstColumn="1" w:firstRow="1" w:lastColumn="0" w:lastRow="0" w:noHBand="0" w:noVBand="1" w:val="04A0"/>
        <w:tblLayout w:type="fixed"/>
        <w:tblCaption w:val="1.1|9"/>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Обозначение стандарта</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 стандарта</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19.201-78</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Техническое задание.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19.301-79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Программа и методика испытаний.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19.404-79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Пояснительная записка.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19.503-79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Руководство системного программиста.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19.505-79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Руководство оператора.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19.701-90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Схемы алгоритмов, программ, данных и систем. Обозначения условные и правила выполнения</w:t>
            </w:r>
          </w:p>
        </w:tc>
      </w:tr>
      <w:tr>
        <w:trPr>
          <w:cantSplit/>
        </w:trPr>
        <w:tc>
          <w:tcPr>
            <w:tcW w:type="dxa" w:w="9355"/>
            <w:gridSpan w:val="2"/>
          </w:tcPr>
          <w:p>
            <w:pPr>
              <w:keepNext/>
              <w:widowControl w:val="0"/>
              <w:spacing w:line="240" w:lineRule="auto" w:after="0"/>
              <w:ind w:firstLine="0"/>
              <w:jc w:val="center"/>
            </w:pPr>
            <w:r/>
            <w:r>
              <w:rPr>
                <w:rFonts w:ascii="Times New Roman" w:hAnsi="Times New Roman" w:cs="Times New Roman" w:eastAsia="Times New Roman"/>
                <w:b w:val="0"/>
                <w:i w:val="0"/>
                <w:sz w:val="24"/>
              </w:rPr>
              <w:t>Российские, идентичные международным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12207-2010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Системная и программная инженерия. Процессы жизненного цикла программных средств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57193-2016</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Системная и программная инженерия. Процессы жизненного цикла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25010-2015</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Системная и программная инженерия. Требования и оценка качества систем и программного обеспечения (SQuaRE). Модели качества систем и программных продуктов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15504-1-2009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Оценка процессов. Часть 1. Концепция и словарь</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14764-2002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Сопровождение программных средств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15910-2002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Процесс создания документации пользователя программного средства</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12119-2000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Пакеты программ. Требования к качеству и тестирование</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27001-2021</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Методы и средства обеспечения безопасности. Системы менеджмента информационной безопасности. Требования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 9001-2015</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Системы менеджмента качества. Требования</w:t>
            </w:r>
          </w:p>
        </w:tc>
      </w:tr>
    </w:tbl>
    <w:p>
      <w:pPr>
        <w:spacing w:line="240" w:lineRule="auto"/>
      </w:pPr>
    </w:p>
    <w:p>
      <w:pPr>
        <w:keepNext/>
      </w:pPr>
      <w:r>
        <w:rPr>
          <w:rFonts w:ascii="Times New Roman" w:hAnsi="Times New Roman" w:cs="Times New Roman" w:eastAsia="Times New Roman"/>
          <w:b w:val="0"/>
          <w:i w:val="0"/>
          <w:sz w:val="28"/>
        </w:rPr>
        <w:t>2. Дать краткую характеристику основных международных методологий и стандартов, применяющихся при создании, эксплуатации и аудите ИС, заполнив таблицу 1.2.</w:t>
      </w:r>
    </w:p>
    <w:p>
      <w:pPr>
        <w:keepNext/>
        <w:ind w:firstLine="0"/>
        <w:jc w:val="left"/>
      </w:pPr>
      <w:r>
        <w:rPr>
          <w:rFonts w:ascii="Times New Roman" w:hAnsi="Times New Roman" w:cs="Times New Roman" w:eastAsia="Times New Roman"/>
          <w:b w:val="0"/>
          <w:i w:val="0"/>
          <w:sz w:val="28"/>
        </w:rPr>
        <w:t>Таблица 1.2 – Международные методологии и стандарты программной инженерии</w:t>
      </w:r>
    </w:p>
    <w:tbl>
      <w:tblPr>
        <w:tblStyle w:val="TableGrid"/>
        <w:tblW w:type="auto" w:w="0"/>
        <w:jc w:val="center"/>
        <w:tblLayout w:type="fixed"/>
        <w:tblLook w:firstColumn="1" w:firstRow="1" w:lastColumn="0" w:lastRow="0" w:noHBand="0" w:noVBand="1" w:val="04A0"/>
        <w:tblLayout w:type="fixed"/>
        <w:tblCaption w:val="1.2|0"/>
      </w:tblPr>
      <w:tblGrid>
        <w:gridCol w:w="1928"/>
        <w:gridCol w:w="2608"/>
        <w:gridCol w:w="4819"/>
      </w:tblGrid>
      <w:tr>
        <w:trPr>
          <w:cantSplit/>
          <w:tblHeader/>
        </w:trPr>
        <w:tc>
          <w:tcPr>
            <w:tcW w:type="dxa" w:w="1928"/>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w:t>
            </w:r>
          </w:p>
        </w:tc>
        <w:tc>
          <w:tcPr>
            <w:tcW w:type="dxa" w:w="2608"/>
          </w:tcPr>
          <w:p>
            <w:pPr>
              <w:keepNext/>
              <w:widowControl w:val="0"/>
              <w:spacing w:line="240" w:lineRule="auto" w:after="0"/>
              <w:ind w:firstLine="0"/>
              <w:jc w:val="center"/>
            </w:pPr>
            <w:r/>
            <w:r>
              <w:rPr>
                <w:rFonts w:ascii="Times New Roman" w:hAnsi="Times New Roman" w:cs="Times New Roman" w:eastAsia="Times New Roman"/>
                <w:b w:val="0"/>
                <w:i w:val="0"/>
                <w:sz w:val="24"/>
              </w:rPr>
              <w:t>Расшифровка (англ.)</w:t>
            </w:r>
          </w:p>
        </w:tc>
        <w:tc>
          <w:tcPr>
            <w:tcW w:type="dxa" w:w="4819"/>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IDEF0 / IDEF1X / IDEF3</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Integration Definition for Function Modeling / Information Modeling / Process Description Capture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Набор нотаций структурного анализа. IDEF0 описывает функции системы и потоки между ними, IDEF1X — логическую модель данных, IDEF3 — порядок выполнения работ и логику ветвлений. Используется при обследовании объекта и проектировании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ITSM / ITIL</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IT Service Management / Information Technology Infrastructure Library</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ITSM рассматривает ИТ как поставщика услуг для бизнеса. ITIL — сборник практик ITSM: управление инцидентами, проблемами, изменениями, уровнем услуг, непрерывностью. Применяется при эксплуатации и поддержке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15504 (SPICE)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Process Improvement and Capability Determination</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Методика оценки возможностей процессов разработки по шкале от 0 до 5. Позволяет определить слабые места процессов разработчика и спланировать их улучшение; продолжена серией стандартов ISO/IEC 330xx</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12207</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life cycle processes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Базовый стандарт по процессам жизненного цикла программных средств: процессы соглашения, организационного обеспечения, управления проектом и технические процессы. Используется как основа договоров и внутренних регламентов разработчика</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ISO/IEC/IEEE 15288</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 life cycle processes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Распространяет процессный подход ISO/IEC 12207 на системы в целом, включая аппаратные средства, данные и персонал</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COBIT</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Control Objectives for Information and Related Technologies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Методология ISACA для руководства и аудита ИТ. Задаёт цели управления, процессы и показатели, связывающие ИТ с целями бизнеса; используется для оценки рисков и эффективности ИТ</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CMMI</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Capability Maturity Model Integration</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Модель зрелости организации-разработчика с пятью уровнями. Используется для оценки и пошагового совершенствования процессов разработки</w:t>
            </w:r>
          </w:p>
        </w:tc>
      </w:tr>
    </w:tbl>
    <w:p>
      <w:pPr>
        <w:keepNext/>
        <w:ind w:firstLine="0"/>
        <w:jc w:val="right"/>
      </w:pPr>
      <w:r>
        <w:rPr>
          <w:rFonts w:ascii="Times New Roman" w:hAnsi="Times New Roman" w:cs="Times New Roman" w:eastAsia="Times New Roman"/>
          <w:b w:val="0"/>
          <w:i w:val="0"/>
          <w:sz w:val="28"/>
        </w:rPr>
        <w:t>Продолжение таблицы 1.2</w:t>
      </w:r>
    </w:p>
    <w:tbl>
      <w:tblPr>
        <w:tblStyle w:val="TableGrid"/>
        <w:tblW w:type="auto" w:w="0"/>
        <w:jc w:val="center"/>
        <w:tblLayout w:type="fixed"/>
        <w:tblLook w:firstColumn="1" w:firstRow="1" w:lastColumn="0" w:lastRow="0" w:noHBand="0" w:noVBand="1" w:val="04A0"/>
        <w:tblLayout w:type="fixed"/>
        <w:tblCaption w:val="1.2|7"/>
      </w:tblPr>
      <w:tblGrid>
        <w:gridCol w:w="1928"/>
        <w:gridCol w:w="2608"/>
        <w:gridCol w:w="4819"/>
      </w:tblGrid>
      <w:tr>
        <w:trPr>
          <w:cantSplit/>
          <w:tblHeader/>
        </w:trPr>
        <w:tc>
          <w:tcPr>
            <w:tcW w:type="dxa" w:w="1928"/>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w:t>
            </w:r>
          </w:p>
        </w:tc>
        <w:tc>
          <w:tcPr>
            <w:tcW w:type="dxa" w:w="2608"/>
          </w:tcPr>
          <w:p>
            <w:pPr>
              <w:keepNext/>
              <w:widowControl w:val="0"/>
              <w:spacing w:line="240" w:lineRule="auto" w:after="0"/>
              <w:ind w:firstLine="0"/>
              <w:jc w:val="center"/>
            </w:pPr>
            <w:r/>
            <w:r>
              <w:rPr>
                <w:rFonts w:ascii="Times New Roman" w:hAnsi="Times New Roman" w:cs="Times New Roman" w:eastAsia="Times New Roman"/>
                <w:b w:val="0"/>
                <w:i w:val="0"/>
                <w:sz w:val="24"/>
              </w:rPr>
              <w:t>Расшифровка (англ.)</w:t>
            </w:r>
          </w:p>
        </w:tc>
        <w:tc>
          <w:tcPr>
            <w:tcW w:type="dxa" w:w="4819"/>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PMBOK</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Project Management Body of Knowledge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Стандарт PMI по управлению проектами: области знаний (сроки, стоимость, риски, качество, коммуникации и др.) и процессы инициации, планирования, исполнения, контроля и завершения</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25010</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Systems and software Quality Requirements and Evaluation — Product quality model</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Задаёт характеристики качества программного продукта (функциональная пригодность, надёжность, защищённость, сопровождаемость и др.) и служит основой для требований к качеству и его оценки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27001</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Information security management systems — Requirements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Требования к системе управления информационной безопасностью: анализ рисков, политика ИБ, меры защиты. Применяется организациями, работающими с конфиденциальными данными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SWEBOK</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Engineering Body of Knowledge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Свод знаний IEEE Computer Society, описывающий области программной инженерии: требования, проектирование, конструирование, тестирование, сопровождение, качество</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TOGAF</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The Open Group Architecture Framework</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Каркас для разработки архитектуры предприятия по методу ADM; охватывает бизнес-архитектуру, архитектуру данных, приложений и технологий</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RUP</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Rational Unified Process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Итеративный процесс разработки на основе UML с четырьмя фазами (начало, уточнение, построение, внедрение), управляемый вариантами использования</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Scrum / Agile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Scrum; Agile Software Development</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Гибкие методы разработки короткими итерациями с постоянным участием заказчика; подходят для проектов с часто меняющимися требованиями</w:t>
            </w:r>
          </w:p>
        </w:tc>
      </w:tr>
    </w:tbl>
    <w:p>
      <w:pPr>
        <w:spacing w:line="240" w:lineRule="auto"/>
      </w:pPr>
    </w:p>
    <w:p>
      <w:pPr>
        <w:keepNext/>
      </w:pPr>
      <w:r>
        <w:rPr>
          <w:rFonts w:ascii="Times New Roman" w:hAnsi="Times New Roman" w:cs="Times New Roman" w:eastAsia="Times New Roman"/>
          <w:b w:val="0"/>
          <w:i w:val="0"/>
          <w:sz w:val="28"/>
        </w:rPr>
        <w:t>3. Изучить ГОСТ 34.201-89 «Виды, комплектность и обозначение документов при создании автоматизированных систем». Описать виды и назначение документов, разрабатываемых на стадиях «Эскизный проект», «Технический проект», «Рабочая документация», заполнив таблицу 1.3.</w:t>
      </w:r>
    </w:p>
    <w:p>
      <w:pPr>
        <w:keepNext/>
        <w:ind w:firstLine="0"/>
        <w:jc w:val="left"/>
      </w:pPr>
      <w:r>
        <w:rPr>
          <w:rFonts w:ascii="Times New Roman" w:hAnsi="Times New Roman" w:cs="Times New Roman" w:eastAsia="Times New Roman"/>
          <w:b w:val="0"/>
          <w:i w:val="0"/>
          <w:sz w:val="28"/>
        </w:rPr>
        <w:t>Таблица 1.3 – Виды и назначение документов по ГОСТ 34.201-89</w:t>
      </w:r>
    </w:p>
    <w:tbl>
      <w:tblPr>
        <w:tblStyle w:val="TableGrid"/>
        <w:tblW w:type="auto" w:w="0"/>
        <w:jc w:val="center"/>
        <w:tblLayout w:type="fixed"/>
        <w:tblLook w:firstColumn="1" w:firstRow="1" w:lastColumn="0" w:lastRow="0" w:noHBand="0" w:noVBand="1" w:val="04A0"/>
        <w:tblLayout w:type="fixed"/>
        <w:tblCaption w:val="1.3|0"/>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Виды документов (таблица 1 ГОСТ 34.201-89)</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Перечисление в систематизированном виде объектов, предметов и т. д.</w:t>
            </w:r>
          </w:p>
        </w:tc>
      </w:tr>
    </w:tbl>
    <w:p>
      <w:pPr>
        <w:keepNext/>
        <w:ind w:firstLine="0"/>
        <w:jc w:val="right"/>
      </w:pPr>
      <w:r>
        <w:rPr>
          <w:rFonts w:ascii="Times New Roman" w:hAnsi="Times New Roman" w:cs="Times New Roman" w:eastAsia="Times New Roman"/>
          <w:b w:val="0"/>
          <w:i w:val="0"/>
          <w:sz w:val="28"/>
        </w:rPr>
        <w:t>Продолжение таблицы 1.3</w:t>
      </w:r>
    </w:p>
    <w:tbl>
      <w:tblPr>
        <w:tblStyle w:val="TableGrid"/>
        <w:tblW w:type="auto" w:w="0"/>
        <w:jc w:val="center"/>
        <w:tblLayout w:type="fixed"/>
        <w:tblLook w:firstColumn="1" w:firstRow="1" w:lastColumn="0" w:lastRow="0" w:noHBand="0" w:noVBand="1" w:val="04A0"/>
        <w:tblLayout w:type="fixed"/>
        <w:tblCaption w:val="1.3|2"/>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Графическое изображение форм документов, частей, элементов системы и связей между ними в виде условных обозначений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Инструкция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Изложение состава действий и правил их выполнения персоналом</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Обоснование</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Б</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Изложение сведений, подтверждающих целесообразность принимаемых решений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Пояснение назначения системы, её частей, принципов их действия и условий применения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Конструкторский документ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 ГОСТ 2.102</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Программный документ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 ГОСТ 19.101</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«Эскизный проект» (таблица 2 ГОСТ 34.201-89)</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эскизного проекта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ЭП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Список всех документов, выпущенных при эскизном проектировании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Пояснительная записка к эскизному проекту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Предварительные решения по системе и её частям и их обоснование</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организационной структуры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С0</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Подразделения и должностные лица, работающие с системой, и связи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структурная комплекса технических средств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Технические средства системы и соединения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функциональной структуры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Функции и подсистемы АС и потоки информации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автоматизации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Схема размещения средств автоматизации на объекте</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«Технический проект»</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технического проекта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ТП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Список документов, выпущенных при техническом проектировании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покупных изделий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Покупное оборудование и программные продукты, необходимые для комплектации системы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Перечень входных сигналов и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Входные данные системы и их источники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Перечень выходных сигналов (документов)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Выходные документы и сообщения системы и их получатели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Пояснительная записка к техническому проекту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Принятые общесистемные решения и мероприятия по подготовке объекта к вводу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автоматизируемых функций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Функции, которые автоматизирует система, с распределением по подсистемам и исполнителям</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постановки задач (комплекса задач)</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П4</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Постановка каждой задачи: цель, входные и выходные данные, требования к решению</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информационного обеспечения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П5</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информационного обеспечения, справочники и классификаторы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организации информационной базы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П6</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Логическая и физическая организация базы данных</w:t>
            </w:r>
          </w:p>
        </w:tc>
      </w:tr>
    </w:tbl>
    <w:p>
      <w:pPr>
        <w:keepNext/>
        <w:ind w:firstLine="0"/>
        <w:jc w:val="right"/>
      </w:pPr>
      <w:r>
        <w:rPr>
          <w:rFonts w:ascii="Times New Roman" w:hAnsi="Times New Roman" w:cs="Times New Roman" w:eastAsia="Times New Roman"/>
          <w:b w:val="0"/>
          <w:i w:val="0"/>
          <w:sz w:val="28"/>
        </w:rPr>
        <w:t>Продолжение таблицы 1.3</w:t>
      </w:r>
    </w:p>
    <w:tbl>
      <w:tblPr>
        <w:tblStyle w:val="TableGrid"/>
        <w:tblW w:type="auto" w:w="0"/>
        <w:jc w:val="center"/>
        <w:tblLayout w:type="fixed"/>
        <w:tblLook w:firstColumn="1" w:firstRow="1" w:lastColumn="0" w:lastRow="0" w:noHBand="0" w:noVBand="1" w:val="04A0"/>
        <w:tblLayout w:type="fixed"/>
        <w:tblCaption w:val="1.3|25"/>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систем классификации и кодирования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П7</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Классификаторы и правила кодирования, принятые в системе</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комплекса технических средств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П9</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характеристики и обоснование выбора технических средств</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программного обеспечения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ПА</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и структура общесистемного и прикладного программного обеспечения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алгоритма (проектной процедуры)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ПБ</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Алгоритм решения задачи или проектной процедуры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Проектная оценка надёжности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Б1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Ожидаемые показатели надёжности и их расчёт</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«Рабочая документация»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эксплуатационных документов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ЭД</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Список эксплуатационных документов</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Каталог базы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В7</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Описание массивов и таблиц базы данных</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Руководство пользователя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Как пользователю выполнять функции системы, какие сообщения он получает и как на них реагировать</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Инструкция по формированию и ведению базы данных (набора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И4</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Порядок наполнения, изменения и восстановления базы данных</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технологического процесса обработки данных (включая телеобработку)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ПГ</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Технология обработки данных: операции, их последовательность и исполнители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Общее описание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ПД</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Обзорное описание назначения, состава и работы системы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Программа и методика испытаний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ПМ</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Что, в каком объёме и какими методами проверяется при испытаниях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Формуляр</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ФО</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Данные о системе, гарантиях и её состоянии в процессе эксплуатации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Паспорт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ПС</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Основные сведения о системе и её комплектности</w:t>
            </w:r>
          </w:p>
        </w:tc>
      </w:tr>
    </w:tbl>
    <w:p>
      <w:pPr>
        <w:spacing w:line="240" w:lineRule="auto"/>
      </w:pPr>
    </w:p>
    <w:p>
      <w:r>
        <w:rPr>
          <w:rFonts w:ascii="Times New Roman" w:hAnsi="Times New Roman" w:cs="Times New Roman" w:eastAsia="Times New Roman"/>
          <w:b w:val="0"/>
          <w:i w:val="0"/>
          <w:sz w:val="28"/>
        </w:rPr>
        <w:t>При разработке системы «СППР оценки кредитоспособности» основная часть проектной документации будет выпущена на стадии технического проекта: пояснительная записка П2, описания П3–П5 и описание программного обеспечения ПА. На стадии рабочей документации ключевыми станут руководство пользователя И3 и программа и методика испытаний ПМ, по которой система будет предъявляться заказчику.</w:t>
      </w:r>
    </w:p>
    <w:p>
      <w:pPr>
        <w:keepNext/>
      </w:pPr>
      <w:r>
        <w:rPr>
          <w:rFonts w:ascii="Times New Roman" w:hAnsi="Times New Roman" w:cs="Times New Roman" w:eastAsia="Times New Roman"/>
          <w:b w:val="0"/>
          <w:i w:val="0"/>
          <w:sz w:val="28"/>
        </w:rPr>
        <w:t>4. Изучить ГОСТ 34.601-90 «Автоматизированные системы. Стадии создания». Составить таблицу 1.4.</w:t>
      </w:r>
    </w:p>
    <w:p>
      <w:pPr>
        <w:keepNext/>
        <w:ind w:firstLine="0"/>
        <w:jc w:val="left"/>
      </w:pPr>
      <w:r>
        <w:rPr>
          <w:rFonts w:ascii="Times New Roman" w:hAnsi="Times New Roman" w:cs="Times New Roman" w:eastAsia="Times New Roman"/>
          <w:b w:val="0"/>
          <w:i w:val="0"/>
          <w:sz w:val="28"/>
        </w:rPr>
        <w:t>Таблица 1.4 – Стадии и этапы создания АС</w:t>
      </w:r>
    </w:p>
    <w:tbl>
      <w:tblPr>
        <w:tblStyle w:val="TableGrid"/>
        <w:tblW w:type="auto" w:w="0"/>
        <w:jc w:val="center"/>
        <w:tblLayout w:type="fixed"/>
        <w:tblLook w:firstColumn="1" w:firstRow="1" w:lastColumn="0" w:lastRow="0" w:noHBand="0" w:noVBand="1" w:val="04A0"/>
        <w:tblLayout w:type="fixed"/>
        <w:tblCaption w:val="1.4|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Стадии</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Этапы работ</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1. Формирование требований к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1.1. Обследование объекта и обоснование необходимости создания АС</w:t>
            </w:r>
          </w:p>
          <w:p>
            <w:pPr>
              <w:widowControl w:val="0"/>
              <w:spacing w:line="240" w:lineRule="auto" w:after="0"/>
              <w:ind w:firstLine="0"/>
              <w:jc w:val="left"/>
            </w:pPr>
            <w:r>
              <w:rPr>
                <w:rFonts w:ascii="Times New Roman" w:hAnsi="Times New Roman" w:cs="Times New Roman" w:eastAsia="Times New Roman"/>
                <w:b w:val="0"/>
                <w:i w:val="0"/>
                <w:sz w:val="24"/>
              </w:rPr>
              <w:t>1.2. Формирование требований пользователя к АС</w:t>
            </w:r>
          </w:p>
          <w:p>
            <w:pPr>
              <w:widowControl w:val="0"/>
              <w:spacing w:line="240" w:lineRule="auto" w:after="0"/>
              <w:ind w:firstLine="0"/>
              <w:jc w:val="left"/>
            </w:pPr>
            <w:r>
              <w:rPr>
                <w:rFonts w:ascii="Times New Roman" w:hAnsi="Times New Roman" w:cs="Times New Roman" w:eastAsia="Times New Roman"/>
                <w:b w:val="0"/>
                <w:i w:val="0"/>
                <w:sz w:val="24"/>
              </w:rPr>
              <w:t>1.3. Оформление отчёта о выполненной работе и заявки на разработку АС (тактико-технического задания)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2. Разработка концепции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2.1. Изучение объекта</w:t>
            </w:r>
          </w:p>
          <w:p>
            <w:pPr>
              <w:widowControl w:val="0"/>
              <w:spacing w:line="240" w:lineRule="auto" w:after="0"/>
              <w:ind w:firstLine="0"/>
              <w:jc w:val="left"/>
            </w:pPr>
            <w:r>
              <w:rPr>
                <w:rFonts w:ascii="Times New Roman" w:hAnsi="Times New Roman" w:cs="Times New Roman" w:eastAsia="Times New Roman"/>
                <w:b w:val="0"/>
                <w:i w:val="0"/>
                <w:sz w:val="24"/>
              </w:rPr>
              <w:t>2.2. Проведение необходимых научно-исследовательских работ</w:t>
            </w:r>
          </w:p>
          <w:p>
            <w:pPr>
              <w:widowControl w:val="0"/>
              <w:spacing w:line="240" w:lineRule="auto" w:after="0"/>
              <w:ind w:firstLine="0"/>
              <w:jc w:val="left"/>
            </w:pPr>
            <w:r>
              <w:rPr>
                <w:rFonts w:ascii="Times New Roman" w:hAnsi="Times New Roman" w:cs="Times New Roman" w:eastAsia="Times New Roman"/>
                <w:b w:val="0"/>
                <w:i w:val="0"/>
                <w:sz w:val="24"/>
              </w:rPr>
              <w:t>2.3. Разработка вариантов концепции АС и выбор варианта концепции АС, удовлетворяющего требованиям пользователя</w:t>
            </w:r>
          </w:p>
          <w:p>
            <w:pPr>
              <w:widowControl w:val="0"/>
              <w:spacing w:line="240" w:lineRule="auto" w:after="0"/>
              <w:ind w:firstLine="0"/>
              <w:jc w:val="left"/>
            </w:pPr>
            <w:r>
              <w:rPr>
                <w:rFonts w:ascii="Times New Roman" w:hAnsi="Times New Roman" w:cs="Times New Roman" w:eastAsia="Times New Roman"/>
                <w:b w:val="0"/>
                <w:i w:val="0"/>
                <w:sz w:val="24"/>
              </w:rPr>
              <w:t>2.4. Оформление отчёта о выполненной работе</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3. Техническое задание</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3.1. Разработка и утверждение технического задания на создание АС</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4. Эскизный проект</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4.1. Разработка предварительных проектных решений по системе и её частям</w:t>
            </w:r>
          </w:p>
          <w:p>
            <w:pPr>
              <w:widowControl w:val="0"/>
              <w:spacing w:line="240" w:lineRule="auto" w:after="0"/>
              <w:ind w:firstLine="0"/>
              <w:jc w:val="left"/>
            </w:pPr>
            <w:r>
              <w:rPr>
                <w:rFonts w:ascii="Times New Roman" w:hAnsi="Times New Roman" w:cs="Times New Roman" w:eastAsia="Times New Roman"/>
                <w:b w:val="0"/>
                <w:i w:val="0"/>
                <w:sz w:val="24"/>
              </w:rPr>
              <w:t>4.2. Разработка документации на АС и её части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5. Технический проект</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5.1. Разработка проектных решений по системе и её частям</w:t>
            </w:r>
          </w:p>
          <w:p>
            <w:pPr>
              <w:widowControl w:val="0"/>
              <w:spacing w:line="240" w:lineRule="auto" w:after="0"/>
              <w:ind w:firstLine="0"/>
              <w:jc w:val="left"/>
            </w:pPr>
            <w:r>
              <w:rPr>
                <w:rFonts w:ascii="Times New Roman" w:hAnsi="Times New Roman" w:cs="Times New Roman" w:eastAsia="Times New Roman"/>
                <w:b w:val="0"/>
                <w:i w:val="0"/>
                <w:sz w:val="24"/>
              </w:rPr>
              <w:t>5.2. Разработка документации на АС и её части</w:t>
            </w:r>
          </w:p>
          <w:p>
            <w:pPr>
              <w:widowControl w:val="0"/>
              <w:spacing w:line="240" w:lineRule="auto" w:after="0"/>
              <w:ind w:firstLine="0"/>
              <w:jc w:val="left"/>
            </w:pPr>
            <w:r>
              <w:rPr>
                <w:rFonts w:ascii="Times New Roman" w:hAnsi="Times New Roman" w:cs="Times New Roman" w:eastAsia="Times New Roman"/>
                <w:b w:val="0"/>
                <w:i w:val="0"/>
                <w:sz w:val="24"/>
              </w:rPr>
              <w:t>5.3. Разработка и оформление документации на поставку изделий для комплектования АС и (или) технических требований (технических заданий) на их разработку</w:t>
            </w:r>
          </w:p>
          <w:p>
            <w:pPr>
              <w:widowControl w:val="0"/>
              <w:spacing w:line="240" w:lineRule="auto" w:after="0"/>
              <w:ind w:firstLine="0"/>
              <w:jc w:val="left"/>
            </w:pPr>
            <w:r>
              <w:rPr>
                <w:rFonts w:ascii="Times New Roman" w:hAnsi="Times New Roman" w:cs="Times New Roman" w:eastAsia="Times New Roman"/>
                <w:b w:val="0"/>
                <w:i w:val="0"/>
                <w:sz w:val="24"/>
              </w:rPr>
              <w:t>5.4. Разработка заданий на проектирование в смежных частях проекта объекта автоматизации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6. Рабочая документация</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6.1. Разработка рабочей документации на систему и её части</w:t>
            </w:r>
          </w:p>
          <w:p>
            <w:pPr>
              <w:widowControl w:val="0"/>
              <w:spacing w:line="240" w:lineRule="auto" w:after="0"/>
              <w:ind w:firstLine="0"/>
              <w:jc w:val="left"/>
            </w:pPr>
            <w:r>
              <w:rPr>
                <w:rFonts w:ascii="Times New Roman" w:hAnsi="Times New Roman" w:cs="Times New Roman" w:eastAsia="Times New Roman"/>
                <w:b w:val="0"/>
                <w:i w:val="0"/>
                <w:sz w:val="24"/>
              </w:rPr>
              <w:t>6.2. Разработка или адаптация программ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7. Ввод в действие</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7.1. Подготовка объекта автоматизации к вводу АС в действие</w:t>
            </w:r>
          </w:p>
          <w:p>
            <w:pPr>
              <w:widowControl w:val="0"/>
              <w:spacing w:line="240" w:lineRule="auto" w:after="0"/>
              <w:ind w:firstLine="0"/>
              <w:jc w:val="left"/>
            </w:pPr>
            <w:r>
              <w:rPr>
                <w:rFonts w:ascii="Times New Roman" w:hAnsi="Times New Roman" w:cs="Times New Roman" w:eastAsia="Times New Roman"/>
                <w:b w:val="0"/>
                <w:i w:val="0"/>
                <w:sz w:val="24"/>
              </w:rPr>
              <w:t>7.2. Подготовка персонала</w:t>
            </w:r>
          </w:p>
          <w:p>
            <w:pPr>
              <w:widowControl w:val="0"/>
              <w:spacing w:line="240" w:lineRule="auto" w:after="0"/>
              <w:ind w:firstLine="0"/>
              <w:jc w:val="left"/>
            </w:pPr>
            <w:r>
              <w:rPr>
                <w:rFonts w:ascii="Times New Roman" w:hAnsi="Times New Roman" w:cs="Times New Roman" w:eastAsia="Times New Roman"/>
                <w:b w:val="0"/>
                <w:i w:val="0"/>
                <w:sz w:val="24"/>
              </w:rPr>
              <w:t>7.3. Комплектация АС поставляемыми изделиями (программными и техническими средствами, программно-техническими комплексами, информационными изделиями)</w:t>
            </w:r>
          </w:p>
          <w:p>
            <w:pPr>
              <w:widowControl w:val="0"/>
              <w:spacing w:line="240" w:lineRule="auto" w:after="0"/>
              <w:ind w:firstLine="0"/>
              <w:jc w:val="left"/>
            </w:pPr>
            <w:r>
              <w:rPr>
                <w:rFonts w:ascii="Times New Roman" w:hAnsi="Times New Roman" w:cs="Times New Roman" w:eastAsia="Times New Roman"/>
                <w:b w:val="0"/>
                <w:i w:val="0"/>
                <w:sz w:val="24"/>
              </w:rPr>
              <w:t>7.4. Строительно-монтажные работы</w:t>
            </w:r>
          </w:p>
          <w:p>
            <w:pPr>
              <w:widowControl w:val="0"/>
              <w:spacing w:line="240" w:lineRule="auto" w:after="0"/>
              <w:ind w:firstLine="0"/>
              <w:jc w:val="left"/>
            </w:pPr>
            <w:r>
              <w:rPr>
                <w:rFonts w:ascii="Times New Roman" w:hAnsi="Times New Roman" w:cs="Times New Roman" w:eastAsia="Times New Roman"/>
                <w:b w:val="0"/>
                <w:i w:val="0"/>
                <w:sz w:val="24"/>
              </w:rPr>
              <w:t>7.5. Пусконаладочные работы</w:t>
            </w:r>
          </w:p>
          <w:p>
            <w:pPr>
              <w:widowControl w:val="0"/>
              <w:spacing w:line="240" w:lineRule="auto" w:after="0"/>
              <w:ind w:firstLine="0"/>
              <w:jc w:val="left"/>
            </w:pPr>
            <w:r>
              <w:rPr>
                <w:rFonts w:ascii="Times New Roman" w:hAnsi="Times New Roman" w:cs="Times New Roman" w:eastAsia="Times New Roman"/>
                <w:b w:val="0"/>
                <w:i w:val="0"/>
                <w:sz w:val="24"/>
              </w:rPr>
              <w:t>7.6. Проведение предварительных испытаний</w:t>
            </w:r>
          </w:p>
          <w:p>
            <w:pPr>
              <w:widowControl w:val="0"/>
              <w:spacing w:line="240" w:lineRule="auto" w:after="0"/>
              <w:ind w:firstLine="0"/>
              <w:jc w:val="left"/>
            </w:pPr>
            <w:r>
              <w:rPr>
                <w:rFonts w:ascii="Times New Roman" w:hAnsi="Times New Roman" w:cs="Times New Roman" w:eastAsia="Times New Roman"/>
                <w:b w:val="0"/>
                <w:i w:val="0"/>
                <w:sz w:val="24"/>
              </w:rPr>
              <w:t>7.7. Проведение опытной эксплуатации</w:t>
            </w:r>
          </w:p>
          <w:p>
            <w:pPr>
              <w:widowControl w:val="0"/>
              <w:spacing w:line="240" w:lineRule="auto" w:after="0"/>
              <w:ind w:firstLine="0"/>
              <w:jc w:val="left"/>
            </w:pPr>
            <w:r>
              <w:rPr>
                <w:rFonts w:ascii="Times New Roman" w:hAnsi="Times New Roman" w:cs="Times New Roman" w:eastAsia="Times New Roman"/>
                <w:b w:val="0"/>
                <w:i w:val="0"/>
                <w:sz w:val="24"/>
              </w:rPr>
              <w:t>7.8. Проведение приёмочных испытаний</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8. Сопровождение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8.1. Выполнение работ в соответствии с гарантийными обязательствами</w:t>
            </w:r>
          </w:p>
          <w:p>
            <w:pPr>
              <w:widowControl w:val="0"/>
              <w:spacing w:line="240" w:lineRule="auto" w:after="0"/>
              <w:ind w:firstLine="0"/>
              <w:jc w:val="left"/>
            </w:pPr>
            <w:r>
              <w:rPr>
                <w:rFonts w:ascii="Times New Roman" w:hAnsi="Times New Roman" w:cs="Times New Roman" w:eastAsia="Times New Roman"/>
                <w:b w:val="0"/>
                <w:i w:val="0"/>
                <w:sz w:val="24"/>
              </w:rPr>
              <w:t>8.2. Послегарантийное обслуживание</w:t>
            </w:r>
          </w:p>
        </w:tc>
      </w:tr>
    </w:tbl>
    <w:p>
      <w:pPr>
        <w:spacing w:line="240" w:lineRule="auto"/>
      </w:pPr>
    </w:p>
    <w:p>
      <w:r>
        <w:rPr>
          <w:rFonts w:ascii="Times New Roman" w:hAnsi="Times New Roman" w:cs="Times New Roman" w:eastAsia="Times New Roman"/>
          <w:b w:val="0"/>
          <w:i w:val="0"/>
          <w:sz w:val="28"/>
        </w:rPr>
        <w:t>Следует учитывать, что с 1 января 2022 года на территории Российской Федерации ГОСТ 34.601-90 заменён национальным стандартом ГОСТ Р 59793-2021 «Информационные технологии. Комплекс стандартов на автоматизированные системы. Автоматизированные системы. Стадии создания». Состав стадий и этапов в новом стандарте в основном сохранён, уточнены отдельные формулировки.</w:t>
      </w:r>
    </w:p>
    <w:p>
      <w:pPr>
        <w:keepNext/>
      </w:pPr>
      <w:r>
        <w:rPr>
          <w:rFonts w:ascii="Times New Roman" w:hAnsi="Times New Roman" w:cs="Times New Roman" w:eastAsia="Times New Roman"/>
          <w:b w:val="0"/>
          <w:i w:val="0"/>
          <w:sz w:val="28"/>
        </w:rPr>
        <w:t>5. Классифицировать законодательные акты в области информационных систем и технологий в соответствии с критериями, обозначенными в таблице 1.5.</w:t>
      </w:r>
    </w:p>
    <w:p>
      <w:pPr>
        <w:keepNext/>
        <w:ind w:firstLine="0"/>
        <w:jc w:val="left"/>
      </w:pPr>
      <w:r>
        <w:rPr>
          <w:rFonts w:ascii="Times New Roman" w:hAnsi="Times New Roman" w:cs="Times New Roman" w:eastAsia="Times New Roman"/>
          <w:b w:val="0"/>
          <w:i w:val="0"/>
          <w:sz w:val="28"/>
        </w:rPr>
        <w:t>Таблица 1.5 – Нормативно-правовое обеспечение информационной деятельности</w:t>
      </w:r>
    </w:p>
    <w:tbl>
      <w:tblPr>
        <w:tblStyle w:val="TableGrid"/>
        <w:tblW w:type="auto" w:w="0"/>
        <w:jc w:val="center"/>
        <w:tblLayout w:type="fixed"/>
        <w:tblLook w:firstColumn="1" w:firstRow="1" w:lastColumn="0" w:lastRow="0" w:noHBand="0" w:noVBand="1" w:val="04A0"/>
        <w:tblLayout w:type="fixed"/>
        <w:tblCaption w:val="1.5|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Раздел</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Перечень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Основные нормативно-правовые акты информационного права</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Конституция Российской Федерации (ст. 23, 24, 29)</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27.07.2006 № 149-ФЗ «Об информации, информационных технологиях и о защите информации»</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27.07.2006 № 152-ФЗ «О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4. Федеральный закон от 29.07.2004 № 98-ФЗ «О коммерческой тайне»</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06.04.2011 № 63-ФЗ «Об электронной подписи»</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26.07.2017 № 187-ФЗ «О безопасности критической информационной инфраструктуры Российской Федерации»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Основное законодательство о программах для ЭВМ (и БД)</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Часть четвёртая Гражданского кодекса РФ (Федеральный закон от 18.12.2006 № 230-ФЗ): ст. 1225, 1259–1262, 1280, 1334–1344</w:t>
            </w:r>
          </w:p>
          <w:p>
            <w:pPr>
              <w:widowControl w:val="0"/>
              <w:spacing w:line="240" w:lineRule="auto" w:after="0"/>
              <w:ind w:firstLine="0"/>
              <w:jc w:val="left"/>
            </w:pPr>
            <w:r>
              <w:rPr>
                <w:rFonts w:ascii="Times New Roman" w:hAnsi="Times New Roman" w:cs="Times New Roman" w:eastAsia="Times New Roman"/>
                <w:b w:val="0"/>
                <w:i w:val="0"/>
                <w:sz w:val="24"/>
              </w:rPr>
              <w:t>2. Закон РФ от 23.09.1992 № 3523-1 «О правовой охране программ для электронных вычислительных машин и баз данных» (утратил силу с 01.01.2008)</w:t>
            </w:r>
          </w:p>
          <w:p>
            <w:pPr>
              <w:widowControl w:val="0"/>
              <w:spacing w:line="240" w:lineRule="auto" w:after="0"/>
              <w:ind w:firstLine="0"/>
              <w:jc w:val="left"/>
            </w:pPr>
            <w:r>
              <w:rPr>
                <w:rFonts w:ascii="Times New Roman" w:hAnsi="Times New Roman" w:cs="Times New Roman" w:eastAsia="Times New Roman"/>
                <w:b w:val="0"/>
                <w:i w:val="0"/>
                <w:sz w:val="24"/>
              </w:rPr>
              <w:t>3. Кодекс РФ об административных правонарушениях, ст. 7.12</w:t>
            </w:r>
          </w:p>
          <w:p>
            <w:pPr>
              <w:widowControl w:val="0"/>
              <w:spacing w:line="240" w:lineRule="auto" w:after="0"/>
              <w:ind w:firstLine="0"/>
              <w:jc w:val="left"/>
            </w:pPr>
            <w:r>
              <w:rPr>
                <w:rFonts w:ascii="Times New Roman" w:hAnsi="Times New Roman" w:cs="Times New Roman" w:eastAsia="Times New Roman"/>
                <w:b w:val="0"/>
                <w:i w:val="0"/>
                <w:sz w:val="24"/>
              </w:rPr>
              <w:t>4. Уголовный кодекс РФ, ст. 146, 272–274.1</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Законодательство, связанное с Интернет-деятельностью</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Федеральный закон от 07.07.2003 № 126-ФЗ «О связи»</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 149-ФЗ, ст. 10.1–10.6, 15.1–15.3</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13.03.2006 № 38-ФЗ «О рекламе»</w:t>
            </w:r>
          </w:p>
          <w:p>
            <w:pPr>
              <w:widowControl w:val="0"/>
              <w:spacing w:line="240" w:lineRule="auto" w:after="0"/>
              <w:ind w:firstLine="0"/>
              <w:jc w:val="left"/>
            </w:pPr>
            <w:r>
              <w:rPr>
                <w:rFonts w:ascii="Times New Roman" w:hAnsi="Times New Roman" w:cs="Times New Roman" w:eastAsia="Times New Roman"/>
                <w:b w:val="0"/>
                <w:i w:val="0"/>
                <w:sz w:val="24"/>
              </w:rPr>
              <w:t>4. Закон РФ от 07.02.1992 № 2300-1 «О защите прав потребителей», ст. 26.1</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29.12.2010 № 436-ФЗ «О защите детей от информации, причиняющей вред их здоровью и развитию»</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01.05.2019 № 90-ФЗ (об устойчивом функционировании сети Интернет)</w:t>
            </w:r>
          </w:p>
        </w:tc>
      </w:tr>
    </w:tbl>
    <w:p>
      <w:pPr>
        <w:keepNext/>
        <w:ind w:firstLine="0"/>
        <w:jc w:val="right"/>
      </w:pPr>
      <w:r>
        <w:rPr>
          <w:rFonts w:ascii="Times New Roman" w:hAnsi="Times New Roman" w:cs="Times New Roman" w:eastAsia="Times New Roman"/>
          <w:b w:val="0"/>
          <w:i w:val="0"/>
          <w:sz w:val="28"/>
        </w:rPr>
        <w:t>Продолжение таблицы 1.5</w:t>
      </w:r>
    </w:p>
    <w:tbl>
      <w:tblPr>
        <w:tblStyle w:val="TableGrid"/>
        <w:tblW w:type="auto" w:w="0"/>
        <w:jc w:val="center"/>
        <w:tblLayout w:type="fixed"/>
        <w:tblLook w:firstColumn="1" w:firstRow="1" w:lastColumn="0" w:lastRow="0" w:noHBand="0" w:noVBand="1" w:val="04A0"/>
        <w:tblLayout w:type="fixed"/>
        <w:tblCaption w:val="1.5|3"/>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Раздел</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Перечень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Подзаконные акты</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Указ Президента РФ от 05.12.2016 № 646 «Об утверждении Доктрины информационной безопасности Российской Федерации»</w:t>
            </w:r>
          </w:p>
          <w:p>
            <w:pPr>
              <w:widowControl w:val="0"/>
              <w:spacing w:line="240" w:lineRule="auto" w:after="0"/>
              <w:ind w:firstLine="0"/>
              <w:jc w:val="left"/>
            </w:pPr>
            <w:r>
              <w:rPr>
                <w:rFonts w:ascii="Times New Roman" w:hAnsi="Times New Roman" w:cs="Times New Roman" w:eastAsia="Times New Roman"/>
                <w:b w:val="0"/>
                <w:i w:val="0"/>
                <w:sz w:val="24"/>
              </w:rPr>
              <w:t>2. Постановление Правительства РФ от 01.11.2012 № 1119 «Об утверждении требований к защите персональных данных при их обработке в информационных системах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3.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4. Приказ ФСТЭК России от 11.02.2013 № 17 (защита информации в государственных информационных системах)</w:t>
            </w:r>
          </w:p>
          <w:p>
            <w:pPr>
              <w:widowControl w:val="0"/>
              <w:spacing w:line="240" w:lineRule="auto" w:after="0"/>
              <w:ind w:firstLine="0"/>
              <w:jc w:val="left"/>
            </w:pPr>
            <w:r>
              <w:rPr>
                <w:rFonts w:ascii="Times New Roman" w:hAnsi="Times New Roman" w:cs="Times New Roman" w:eastAsia="Times New Roman"/>
                <w:b w:val="0"/>
                <w:i w:val="0"/>
                <w:sz w:val="24"/>
              </w:rPr>
              <w:t>5. Постановление Правительства РФ от 16.11.2015 № 1236 (ограничение допуска иностранного программного обеспечения при государственных закупках)</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Отраслевые акты, связанные с тематикой проекта (СППР оценки кредитоспособности)</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Федеральный закон от 30.12.2004 № 218-ФЗ «О кредитных историях»</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21.12.2013 № 353-ФЗ «О потребительском кредите (займе)»</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02.07.2010 № 151-ФЗ «О микрофинансовой деятельности и микрофинансовых организациях»</w:t>
            </w:r>
          </w:p>
          <w:p>
            <w:pPr>
              <w:widowControl w:val="0"/>
              <w:spacing w:line="240" w:lineRule="auto" w:after="0"/>
              <w:ind w:firstLine="0"/>
              <w:jc w:val="left"/>
            </w:pPr>
            <w:r>
              <w:rPr>
                <w:rFonts w:ascii="Times New Roman" w:hAnsi="Times New Roman" w:cs="Times New Roman" w:eastAsia="Times New Roman"/>
                <w:b w:val="0"/>
                <w:i w:val="0"/>
                <w:sz w:val="24"/>
              </w:rPr>
              <w:t>4. Федеральный закон от 18.07.2009 № 190-ФЗ «О кредитной кооперации»</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07.08.2001 № 115-ФЗ «О противодействии легализации (отмыванию) доходов, полученных преступным путём, и финансированию терроризма»</w:t>
            </w:r>
          </w:p>
          <w:p>
            <w:pPr>
              <w:widowControl w:val="0"/>
              <w:spacing w:line="240" w:lineRule="auto" w:after="0"/>
              <w:ind w:firstLine="0"/>
              <w:jc w:val="left"/>
            </w:pPr>
            <w:r>
              <w:rPr>
                <w:rFonts w:ascii="Times New Roman" w:hAnsi="Times New Roman" w:cs="Times New Roman" w:eastAsia="Times New Roman"/>
                <w:b w:val="0"/>
                <w:i w:val="0"/>
                <w:sz w:val="24"/>
              </w:rPr>
              <w:t>6. Нормативные акты Банка России о расчёте показателя долговой нагрузки (ПДН) заёмщика</w:t>
            </w:r>
          </w:p>
        </w:tc>
      </w:tr>
    </w:tbl>
    <w:p>
      <w:pPr>
        <w:spacing w:line="240" w:lineRule="auto"/>
      </w:pPr>
    </w:p>
    <w:p>
      <w:r>
        <w:rPr>
          <w:rFonts w:ascii="Times New Roman" w:hAnsi="Times New Roman" w:cs="Times New Roman" w:eastAsia="Times New Roman"/>
          <w:b w:val="0"/>
          <w:i w:val="0"/>
          <w:sz w:val="28"/>
        </w:rPr>
        <w:t>6. В справочно-правовой системе «Гарант» найти Гражданский кодекс (ч. 4), изучить главу 69 «Общие положения» раздела VII «Права на результаты интеллектуальной деятельности и средства индивидуализации». Дать письменный ответ на вопрос: какие объекты интеллектуальной собственности, касающиеся области ИТ, являются объектом правового регулирования гл. 69 Гражданского кодекса?</w:t>
      </w:r>
    </w:p>
    <w:p>
      <w:pPr>
        <w:ind w:firstLine="0"/>
      </w:pPr>
      <w:r>
        <w:rPr>
          <w:rFonts w:ascii="Times New Roman" w:hAnsi="Times New Roman" w:cs="Times New Roman" w:eastAsia="Times New Roman"/>
          <w:b/>
          <w:i w:val="0"/>
          <w:sz w:val="28"/>
        </w:rPr>
        <w:t>Ответ:</w:t>
      </w:r>
    </w:p>
    <w:p>
      <w:r>
        <w:rPr>
          <w:rFonts w:ascii="Times New Roman" w:hAnsi="Times New Roman" w:cs="Times New Roman" w:eastAsia="Times New Roman"/>
          <w:b w:val="0"/>
          <w:i w:val="0"/>
          <w:sz w:val="28"/>
        </w:rPr>
        <w:t>Права на результаты интеллектуальной деятельности регулируются разделом VII части четвёртой ГК РФ, принятой Федеральным законом от 18.12.2006 № 230-ФЗ и действующей с 1 января 2008 года. Глава 69 «Общие положения» (ст. 1225–1254) содержит нормы, единые для всех видов интеллектуальной собственности. Особенности отдельных объектов раскрываются в специальных главах: авторскому праву посвящена гл. 70, смежным правам — гл. 71, патентному праву — гл. 72, топологиям интегральных микросхем — гл. 74, ноу-хау — гл. 75, средствам индивидуализации — гл. 76. Цитаты ниже даны по тексту кодекса в СПС «КонсультантПлюс» (действующая редакция).</w:t>
      </w:r>
    </w:p>
    <w:p>
      <w:r>
        <w:rPr>
          <w:rFonts w:ascii="Times New Roman" w:hAnsi="Times New Roman" w:cs="Times New Roman" w:eastAsia="Times New Roman"/>
          <w:b/>
          <w:i w:val="0"/>
          <w:sz w:val="28"/>
        </w:rPr>
        <w:t>1. Какие объекты признаются интеллектуальной собственностью.</w:t>
      </w:r>
      <w:r>
        <w:rPr>
          <w:rFonts w:ascii="Times New Roman" w:hAnsi="Times New Roman" w:cs="Times New Roman" w:eastAsia="Times New Roman"/>
          <w:b w:val="0"/>
          <w:i w:val="0"/>
          <w:sz w:val="28"/>
        </w:rPr>
        <w:t xml:space="preserve"> Ответ на этот вопрос даёт статья 1225, в которой перечислены все охраняемые результаты интеллектуальной деятельности и средства индивидуализации:</w:t>
      </w:r>
    </w:p>
    <w:p>
      <w:pPr>
        <w:spacing w:before="60" w:after="60"/>
        <w:ind w:left="709" w:firstLine="0"/>
      </w:pPr>
      <w:r>
        <w:rPr>
          <w:rFonts w:ascii="Times New Roman" w:hAnsi="Times New Roman" w:cs="Times New Roman" w:eastAsia="Times New Roman"/>
          <w:b w:val="0"/>
          <w:i/>
          <w:sz w:val="28"/>
        </w:rPr>
        <w:t>«Результатами интеллектуальной деятельности и приравненными к ним средствами индивидуализации юридических лиц, товаров, работ, услуг и предприятий, которым предоставляется правовая охрана (интеллектуальной собственностью), являются: 1) произведения науки, литературы и искусства; 2) программы для электронных вычислительных машин (программы для ЭВМ); 3) базы данных; 4) исполнения; 5) фонограммы; 6) сообщение в эфир или по кабелю радио- или телепередач (сообщение организаций эфирного или кабельного вещания); 7) изобретения; 8) полезные модели; 9) промышленные образцы; 10) селекционные достижения; 11) топологии интегральных микросхем; 12) секреты производства (ноу-хау); 13) фирменные наименования; 14) товарные знаки и знаки обслуживания; 14.1) географические указания; 15) наименования мест происхождения товаров; 16) коммерческие обозначения»</w:t>
      </w:r>
      <w:r>
        <w:rPr>
          <w:rFonts w:ascii="Times New Roman" w:hAnsi="Times New Roman" w:cs="Times New Roman" w:eastAsia="Times New Roman"/>
          <w:b w:val="0"/>
          <w:i w:val="0"/>
          <w:sz w:val="28"/>
        </w:rPr>
        <w:t xml:space="preserve"> (п. 1 ст. 1225 ГК РФ)</w:t>
      </w:r>
    </w:p>
    <w:p>
      <w:pPr>
        <w:spacing w:before="60" w:after="60"/>
        <w:ind w:left="709" w:firstLine="0"/>
      </w:pPr>
      <w:r>
        <w:rPr>
          <w:rFonts w:ascii="Times New Roman" w:hAnsi="Times New Roman" w:cs="Times New Roman" w:eastAsia="Times New Roman"/>
          <w:b w:val="0"/>
          <w:i/>
          <w:sz w:val="28"/>
        </w:rPr>
        <w:t>«Интеллектуальная собственность охраняется законом»</w:t>
      </w:r>
      <w:r>
        <w:rPr>
          <w:rFonts w:ascii="Times New Roman" w:hAnsi="Times New Roman" w:cs="Times New Roman" w:eastAsia="Times New Roman"/>
          <w:b w:val="0"/>
          <w:i w:val="0"/>
          <w:sz w:val="28"/>
        </w:rPr>
        <w:t xml:space="preserve"> (п. 2 ст. 1225 ГК РФ)</w:t>
      </w:r>
    </w:p>
    <w:p>
      <w:r>
        <w:rPr>
          <w:rFonts w:ascii="Times New Roman" w:hAnsi="Times New Roman" w:cs="Times New Roman" w:eastAsia="Times New Roman"/>
          <w:b w:val="0"/>
          <w:i w:val="0"/>
          <w:sz w:val="28"/>
        </w:rPr>
        <w:t>Расширительному толкованию этот перечень не подлежит. Если результат не укладывается ни в одну из семнадцати позиций, он не является интеллектуальной собственностью. Для ИТ это означает, что, например, скоринговая модель, обучающая выборка или методика оценки заёмщика получают охрану только как программа для ЭВМ, база данных или секрет производства.</w:t>
      </w:r>
    </w:p>
    <w:p>
      <w:r>
        <w:rPr>
          <w:rFonts w:ascii="Times New Roman" w:hAnsi="Times New Roman" w:cs="Times New Roman" w:eastAsia="Times New Roman"/>
          <w:b/>
          <w:i w:val="0"/>
          <w:sz w:val="28"/>
        </w:rPr>
        <w:t>2. ИТ-объекты в перечне статьи 1225.</w:t>
      </w:r>
      <w:r>
        <w:rPr>
          <w:rFonts w:ascii="Times New Roman" w:hAnsi="Times New Roman" w:cs="Times New Roman" w:eastAsia="Times New Roman"/>
          <w:b w:val="0"/>
          <w:i w:val="0"/>
          <w:sz w:val="28"/>
        </w:rPr>
        <w:t xml:space="preserve"> Объекты, имеющие прямое отношение к информационным технологиям, и порядок их охраны сведены в таблицу 1.6.</w:t>
      </w:r>
    </w:p>
    <w:p>
      <w:pPr>
        <w:keepNext/>
        <w:ind w:firstLine="0"/>
        <w:jc w:val="left"/>
      </w:pPr>
      <w:r>
        <w:rPr>
          <w:rFonts w:ascii="Times New Roman" w:hAnsi="Times New Roman" w:cs="Times New Roman" w:eastAsia="Times New Roman"/>
          <w:b w:val="0"/>
          <w:i w:val="0"/>
          <w:sz w:val="28"/>
        </w:rPr>
        <w:t>Таблица 1.6 – Объекты интеллектуальной собственности, относящиеся к ИТ</w:t>
      </w:r>
    </w:p>
    <w:tbl>
      <w:tblPr>
        <w:tblStyle w:val="TableGrid"/>
        <w:tblW w:type="auto" w:w="0"/>
        <w:jc w:val="center"/>
        <w:tblLayout w:type="fixed"/>
        <w:tblLook w:firstColumn="1" w:firstRow="1" w:lastColumn="0" w:lastRow="0" w:noHBand="0" w:noVBand="1" w:val="04A0"/>
        <w:tblLayout w:type="fixed"/>
        <w:tblCaption w:val="1.6|0"/>
      </w:tblPr>
      <w:tblGrid>
        <w:gridCol w:w="2154"/>
        <w:gridCol w:w="3175"/>
        <w:gridCol w:w="4025"/>
      </w:tblGrid>
      <w:tr>
        <w:trPr>
          <w:cantSplit/>
          <w:tblHeader/>
        </w:trPr>
        <w:tc>
          <w:tcPr>
            <w:tcW w:type="dxa" w:w="2154"/>
          </w:tcPr>
          <w:p>
            <w:pPr>
              <w:keepNext/>
              <w:widowControl w:val="0"/>
              <w:spacing w:line="240" w:lineRule="auto" w:after="0"/>
              <w:ind w:firstLine="0"/>
              <w:jc w:val="center"/>
            </w:pPr>
            <w:r/>
            <w:r>
              <w:rPr>
                <w:rFonts w:ascii="Times New Roman" w:hAnsi="Times New Roman" w:cs="Times New Roman" w:eastAsia="Times New Roman"/>
                <w:b w:val="0"/>
                <w:i w:val="0"/>
                <w:sz w:val="24"/>
              </w:rPr>
              <w:t>Объект</w:t>
            </w:r>
          </w:p>
        </w:tc>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Что охраняется в ИТ-проекте</w:t>
            </w:r>
          </w:p>
        </w:tc>
        <w:tc>
          <w:tcPr>
            <w:tcW w:type="dxa" w:w="4025"/>
          </w:tcPr>
          <w:p>
            <w:pPr>
              <w:keepNext/>
              <w:widowControl w:val="0"/>
              <w:spacing w:line="240" w:lineRule="auto" w:after="0"/>
              <w:ind w:firstLine="0"/>
              <w:jc w:val="center"/>
            </w:pPr>
            <w:r/>
            <w:r>
              <w:rPr>
                <w:rFonts w:ascii="Times New Roman" w:hAnsi="Times New Roman" w:cs="Times New Roman" w:eastAsia="Times New Roman"/>
                <w:b w:val="0"/>
                <w:i w:val="0"/>
                <w:sz w:val="24"/>
              </w:rPr>
              <w:t>Порядок охраны</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Программа для ЭВМ (подп. 2 п. 1 ст. 1225)</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Исходный и объектный код серверных и клиентских приложений, сервисов, скоринговых моделей в виде программ</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Охраняется авторским правом как литературное произведение (ст. 1259, 1261), без регистрации (п. 4 ст. 1259); по желанию правообладателя регистрируется в Роспатенте (ст. 1262); срок охраны — жизнь автора и ещё 70 лет (ст. 1281)</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База данных (подп. 3)</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Базы данных информационных систем, справочники, наборы данных для проверки методики оценки</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Авторское право составителя на подбор и расположение материалов (п. 2 ст. 1260) и самостоятельное смежное право изготовителя (ст. 1334–1344)</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Произведение науки, литературы и искусства (подп. 1)</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Проектная и эксплуатационная документация, дизайн экранных форм, справочные материалы</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Авторское право по гл. 70; веб-сайт рассматривается как составное произведение (п. 2 ст. 1260)</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Изобретение, полезная модель (подп. 7, 8)</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Технические решения в области обработки данных, программно-аппаратные устройства</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Патент по гл. 72; программа для ЭВМ сама по себе изобретением не признаётся (п. 5 ст. 1350)</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Топология интегральной микросхемы (подп. 11)</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Расположение элементов микросхем</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Нормы гл. 74 (ст. 1448 и далее), регистрация по желанию правообладателя</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Секрет производства (подп. 12)</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Алгоритмы и методики, архитектурные решения, параметры методик оценки, не раскрываемые третьим лицам</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Гл. 75 (ст. 1465 и далее); охраняется до тех пор, пока обладатель обеспечивает конфиденциальность (режим коммерческой тайны, Закон № 98-ФЗ)</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Средства индивидуализации (подп. 13, 14, 16)</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Наименование разработчика, название и логотип программного продукта</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Гл. 76: фирменное наименование, товарный знак (регистрируется в Роспатенте), коммерческое обозначение</w:t>
            </w:r>
          </w:p>
        </w:tc>
      </w:tr>
    </w:tbl>
    <w:p>
      <w:pPr>
        <w:spacing w:line="240" w:lineRule="auto"/>
      </w:pPr>
    </w:p>
    <w:p>
      <w:r>
        <w:rPr>
          <w:rFonts w:ascii="Times New Roman" w:hAnsi="Times New Roman" w:cs="Times New Roman" w:eastAsia="Times New Roman"/>
          <w:b w:val="0"/>
          <w:i w:val="0"/>
          <w:sz w:val="28"/>
        </w:rPr>
        <w:t>Главные для ИТ объекты — программы и базы данных — подробнее урегулированы главой 70 «Авторское право». Программа для ЭВМ прямо названа объектом авторских прав:</w:t>
      </w:r>
    </w:p>
    <w:p>
      <w:pPr>
        <w:spacing w:before="60" w:after="60"/>
        <w:ind w:left="709" w:firstLine="0"/>
      </w:pPr>
      <w:r>
        <w:rPr>
          <w:rFonts w:ascii="Times New Roman" w:hAnsi="Times New Roman" w:cs="Times New Roman" w:eastAsia="Times New Roman"/>
          <w:b w:val="0"/>
          <w:i/>
          <w:sz w:val="28"/>
        </w:rPr>
        <w:t>«К объектам авторских прав также относятся программы для ЭВМ, которые охраняются как литературные произведения»</w:t>
      </w:r>
      <w:r>
        <w:rPr>
          <w:rFonts w:ascii="Times New Roman" w:hAnsi="Times New Roman" w:cs="Times New Roman" w:eastAsia="Times New Roman"/>
          <w:b w:val="0"/>
          <w:i w:val="0"/>
          <w:sz w:val="28"/>
        </w:rPr>
        <w:t xml:space="preserve"> (п. 1 ст. 1259 ГК РФ)</w:t>
      </w:r>
    </w:p>
    <w:p>
      <w:r>
        <w:rPr>
          <w:rFonts w:ascii="Times New Roman" w:hAnsi="Times New Roman" w:cs="Times New Roman" w:eastAsia="Times New Roman"/>
          <w:b w:val="0"/>
          <w:i w:val="0"/>
          <w:sz w:val="28"/>
        </w:rPr>
        <w:t>Легальное определение программы и объём её охраны даны в статье 1261:</w:t>
      </w:r>
    </w:p>
    <w:p>
      <w:pPr>
        <w:spacing w:before="60" w:after="60"/>
        <w:ind w:left="709" w:firstLine="0"/>
      </w:pPr>
      <w:r>
        <w:rPr>
          <w:rFonts w:ascii="Times New Roman" w:hAnsi="Times New Roman" w:cs="Times New Roman" w:eastAsia="Times New Roman"/>
          <w:b w:val="0"/>
          <w:i/>
          <w:sz w:val="28"/>
        </w:rPr>
        <w:t>«Авторские права на все виды программ для ЭВМ (в том числе на операционные системы и программные комплексы), которые могут быть выражены на любом языке и в любой форме, включая исходный текст и объектный код, охраняются так же, как авторские права на произведения литературы. Программой для ЭВМ является представленная в объективной форме совокупность данных и команд, предназначенных для функционирования ЭВМ и других компьютерных устройств в целях получения определенного результата, включая подготовительные материалы, полученные в ходе разработки программы для ЭВМ, и порождаемые ею аудиовизуальные отображения»</w:t>
      </w:r>
      <w:r>
        <w:rPr>
          <w:rFonts w:ascii="Times New Roman" w:hAnsi="Times New Roman" w:cs="Times New Roman" w:eastAsia="Times New Roman"/>
          <w:b w:val="0"/>
          <w:i w:val="0"/>
          <w:sz w:val="28"/>
        </w:rPr>
        <w:t xml:space="preserve"> (ст. 1261 ГК РФ)</w:t>
      </w:r>
    </w:p>
    <w:p>
      <w:r>
        <w:rPr>
          <w:rFonts w:ascii="Times New Roman" w:hAnsi="Times New Roman" w:cs="Times New Roman" w:eastAsia="Times New Roman"/>
          <w:b w:val="0"/>
          <w:i w:val="0"/>
          <w:sz w:val="28"/>
        </w:rPr>
        <w:t>Права автора возникают в момент создания программы, никаких формальностей для этого не требуется:</w:t>
      </w:r>
    </w:p>
    <w:p>
      <w:pPr>
        <w:spacing w:before="60" w:after="60"/>
        <w:ind w:left="709" w:firstLine="0"/>
      </w:pPr>
      <w:r>
        <w:rPr>
          <w:rFonts w:ascii="Times New Roman" w:hAnsi="Times New Roman" w:cs="Times New Roman" w:eastAsia="Times New Roman"/>
          <w:b w:val="0"/>
          <w:i/>
          <w:sz w:val="28"/>
        </w:rPr>
        <w:t>«Для возникновения, осуществления и защиты авторских прав не требуется регистрация произведения или соблюдение каких-либо иных формальностей»</w:t>
      </w:r>
      <w:r>
        <w:rPr>
          <w:rFonts w:ascii="Times New Roman" w:hAnsi="Times New Roman" w:cs="Times New Roman" w:eastAsia="Times New Roman"/>
          <w:b w:val="0"/>
          <w:i w:val="0"/>
          <w:sz w:val="28"/>
        </w:rPr>
        <w:t xml:space="preserve"> (п. 4 ст. 1259 ГК РФ)</w:t>
      </w:r>
    </w:p>
    <w:p>
      <w:r>
        <w:rPr>
          <w:rFonts w:ascii="Times New Roman" w:hAnsi="Times New Roman" w:cs="Times New Roman" w:eastAsia="Times New Roman"/>
          <w:b w:val="0"/>
          <w:i w:val="0"/>
          <w:sz w:val="28"/>
        </w:rPr>
        <w:t>Понятие базы данных раскрыто в статье 1260:</w:t>
      </w:r>
    </w:p>
    <w:p>
      <w:pPr>
        <w:spacing w:before="60" w:after="60"/>
        <w:ind w:left="709" w:firstLine="0"/>
      </w:pPr>
      <w:r>
        <w:rPr>
          <w:rFonts w:ascii="Times New Roman" w:hAnsi="Times New Roman" w:cs="Times New Roman" w:eastAsia="Times New Roman"/>
          <w:b w:val="0"/>
          <w:i/>
          <w:sz w:val="28"/>
        </w:rPr>
        <w:t>«Базой данных является представленная в объективной форме совокупность самостоятельных материалов (статей, расчетов, нормативных актов, судебных решений и иных подобных материалов), систематизированных таким образом, чтобы эти материалы могли быть найдены и обработаны с помощью электронной вычислительной машины (ЭВМ)»</w:t>
      </w:r>
      <w:r>
        <w:rPr>
          <w:rFonts w:ascii="Times New Roman" w:hAnsi="Times New Roman" w:cs="Times New Roman" w:eastAsia="Times New Roman"/>
          <w:b w:val="0"/>
          <w:i w:val="0"/>
          <w:sz w:val="28"/>
        </w:rPr>
        <w:t xml:space="preserve"> (п. 2 ст. 1260 ГК РФ)</w:t>
      </w:r>
    </w:p>
    <w:p>
      <w:r>
        <w:rPr>
          <w:rFonts w:ascii="Times New Roman" w:hAnsi="Times New Roman" w:cs="Times New Roman" w:eastAsia="Times New Roman"/>
          <w:b w:val="0"/>
          <w:i w:val="0"/>
          <w:sz w:val="28"/>
        </w:rPr>
        <w:t>Если создание базы данных потребовало значительных вложений, её изготовитель дополнительно получает исключительное право, не зависящее от авторского:</w:t>
      </w:r>
    </w:p>
    <w:p>
      <w:pPr>
        <w:spacing w:before="60" w:after="60"/>
        <w:ind w:left="709" w:firstLine="0"/>
      </w:pPr>
      <w:r>
        <w:rPr>
          <w:rFonts w:ascii="Times New Roman" w:hAnsi="Times New Roman" w:cs="Times New Roman" w:eastAsia="Times New Roman"/>
          <w:b w:val="0"/>
          <w:i/>
          <w:sz w:val="28"/>
        </w:rPr>
        <w:t>«Изготовителю базы данных, создание которой (включая обработку или представление соответствующих материалов) требует существенных финансовых, материальных, организационных или иных затрат, принадлежит исключительное право извлекать из базы данных материалы и осуществлять их последующее использование в любой форме и любым способом»</w:t>
      </w:r>
      <w:r>
        <w:rPr>
          <w:rFonts w:ascii="Times New Roman" w:hAnsi="Times New Roman" w:cs="Times New Roman" w:eastAsia="Times New Roman"/>
          <w:b w:val="0"/>
          <w:i w:val="0"/>
          <w:sz w:val="28"/>
        </w:rPr>
        <w:t xml:space="preserve"> (п. 1 ст. 1334 ГК РФ)</w:t>
      </w:r>
    </w:p>
    <w:p>
      <w:r>
        <w:rPr>
          <w:rFonts w:ascii="Times New Roman" w:hAnsi="Times New Roman" w:cs="Times New Roman" w:eastAsia="Times New Roman"/>
          <w:b w:val="0"/>
          <w:i w:val="0"/>
          <w:sz w:val="28"/>
        </w:rPr>
        <w:t>Пока не доказано обратное, существенными считаются затраты на базу данных, содержащую не менее 10 000 самостоятельных информационных элементов (п. 1 ст. 1334 ГК РФ).</w:t>
      </w:r>
    </w:p>
    <w:p>
      <w:r>
        <w:rPr>
          <w:rFonts w:ascii="Times New Roman" w:hAnsi="Times New Roman" w:cs="Times New Roman" w:eastAsia="Times New Roman"/>
          <w:b w:val="0"/>
          <w:i w:val="0"/>
          <w:sz w:val="28"/>
        </w:rPr>
        <w:t>Следует учитывать, что авторское право охраняет только конкретную форму выражения. Сама математическая идея модели, метод расчёта или принцип работы системы охраны не получают:</w:t>
      </w:r>
    </w:p>
    <w:p>
      <w:pPr>
        <w:spacing w:before="60" w:after="60"/>
        <w:ind w:left="709" w:firstLine="0"/>
      </w:pPr>
      <w:r>
        <w:rPr>
          <w:rFonts w:ascii="Times New Roman" w:hAnsi="Times New Roman" w:cs="Times New Roman" w:eastAsia="Times New Roman"/>
          <w:b w:val="0"/>
          <w:i/>
          <w:sz w:val="28"/>
        </w:rPr>
        <w:t>«Авторские права не распространяются на идеи, концепции, принципы, методы, процессы, системы, способы, решения технических, организационных или иных задач, открытия, факты, языки программирования, геологическую информацию о недрах»</w:t>
      </w:r>
      <w:r>
        <w:rPr>
          <w:rFonts w:ascii="Times New Roman" w:hAnsi="Times New Roman" w:cs="Times New Roman" w:eastAsia="Times New Roman"/>
          <w:b w:val="0"/>
          <w:i w:val="0"/>
          <w:sz w:val="28"/>
        </w:rPr>
        <w:t xml:space="preserve"> (п. 5 ст. 1259 ГК РФ)</w:t>
      </w:r>
    </w:p>
    <w:p>
      <w:r>
        <w:rPr>
          <w:rFonts w:ascii="Times New Roman" w:hAnsi="Times New Roman" w:cs="Times New Roman" w:eastAsia="Times New Roman"/>
          <w:b w:val="0"/>
          <w:i w:val="0"/>
          <w:sz w:val="28"/>
        </w:rPr>
        <w:t>Для защиты именно алгоритмов и методик используется институт секрета производства:</w:t>
      </w:r>
    </w:p>
    <w:p>
      <w:pPr>
        <w:spacing w:before="60" w:after="60"/>
        <w:ind w:left="709" w:firstLine="0"/>
      </w:pPr>
      <w:r>
        <w:rPr>
          <w:rFonts w:ascii="Times New Roman" w:hAnsi="Times New Roman" w:cs="Times New Roman" w:eastAsia="Times New Roman"/>
          <w:b w:val="0"/>
          <w:i/>
          <w:sz w:val="28"/>
        </w:rPr>
        <w:t>«Секретом производства (ноу-хау) признаются сведения любого характера (производственные, технические, экономические, организационные и другие) о результатах интеллектуальной деятельности в научно-технической сфере и о способах осуществления профессиональной деятельности, имеющие действительную или потенциальную коммерческую ценность вследствие неизвестности их третьим лицам, если к таким сведениям у третьих лиц нет свободного доступа на законном основании и обладатель таких сведений принимает разумные меры для соблюдения их конфиденциальности, в том числе путем введения режима коммерческой тайны»</w:t>
      </w:r>
      <w:r>
        <w:rPr>
          <w:rFonts w:ascii="Times New Roman" w:hAnsi="Times New Roman" w:cs="Times New Roman" w:eastAsia="Times New Roman"/>
          <w:b w:val="0"/>
          <w:i w:val="0"/>
          <w:sz w:val="28"/>
        </w:rPr>
        <w:t xml:space="preserve"> (п. 1 ст. 1465 ГК РФ)</w:t>
      </w:r>
    </w:p>
    <w:p>
      <w:r>
        <w:rPr>
          <w:rFonts w:ascii="Times New Roman" w:hAnsi="Times New Roman" w:cs="Times New Roman" w:eastAsia="Times New Roman"/>
          <w:b/>
          <w:i w:val="0"/>
          <w:sz w:val="28"/>
        </w:rPr>
        <w:t>3. Общие нормы главы 69 и их значение для ИТ.</w:t>
      </w:r>
      <w:r>
        <w:rPr>
          <w:rFonts w:ascii="Times New Roman" w:hAnsi="Times New Roman" w:cs="Times New Roman" w:eastAsia="Times New Roman"/>
          <w:b w:val="0"/>
          <w:i w:val="0"/>
          <w:sz w:val="28"/>
        </w:rPr>
        <w:t xml:space="preserve"> Состав прав на перечисленные объекты определяет статья 1226:</w:t>
      </w:r>
    </w:p>
    <w:p>
      <w:pPr>
        <w:spacing w:before="60" w:after="60"/>
        <w:ind w:left="709" w:firstLine="0"/>
      </w:pPr>
      <w:r>
        <w:rPr>
          <w:rFonts w:ascii="Times New Roman" w:hAnsi="Times New Roman" w:cs="Times New Roman" w:eastAsia="Times New Roman"/>
          <w:b w:val="0"/>
          <w:i/>
          <w:sz w:val="28"/>
        </w:rPr>
        <w:t>«На результаты интеллектуальной деятельности и приравненные к ним средства индивидуализации (результаты интеллектуальной деятельности и средства индивидуализации) признаются интеллектуальные права, которые включают исключительное право, являющееся имущественным правом, а в случаях, предусмотренных настоящим Кодексом, также личные неимущественные права и иные права (право следования, право доступа и другие)»</w:t>
      </w:r>
      <w:r>
        <w:rPr>
          <w:rFonts w:ascii="Times New Roman" w:hAnsi="Times New Roman" w:cs="Times New Roman" w:eastAsia="Times New Roman"/>
          <w:b w:val="0"/>
          <w:i w:val="0"/>
          <w:sz w:val="28"/>
        </w:rPr>
        <w:t xml:space="preserve"> (ст. 1226 ГК РФ)</w:t>
      </w:r>
    </w:p>
    <w:p>
      <w:r>
        <w:rPr>
          <w:rFonts w:ascii="Times New Roman" w:hAnsi="Times New Roman" w:cs="Times New Roman" w:eastAsia="Times New Roman"/>
          <w:b w:val="0"/>
          <w:i w:val="0"/>
          <w:sz w:val="28"/>
        </w:rPr>
        <w:t>Права на программу или базу данных существуют отдельно от права собственности на сервер, диск или иной носитель:</w:t>
      </w:r>
    </w:p>
    <w:p>
      <w:pPr>
        <w:spacing w:before="60" w:after="60"/>
        <w:ind w:left="709" w:firstLine="0"/>
      </w:pPr>
      <w:r>
        <w:rPr>
          <w:rFonts w:ascii="Times New Roman" w:hAnsi="Times New Roman" w:cs="Times New Roman" w:eastAsia="Times New Roman"/>
          <w:b w:val="0"/>
          <w:i/>
          <w:sz w:val="28"/>
        </w:rPr>
        <w:t>«Интеллектуальные права не зависят от права собственности и иных вещных прав на материальный носитель (вещь), в котором выражены соответствующие результат интеллектуальной деятельности или средство индивидуализации»</w:t>
      </w:r>
      <w:r>
        <w:rPr>
          <w:rFonts w:ascii="Times New Roman" w:hAnsi="Times New Roman" w:cs="Times New Roman" w:eastAsia="Times New Roman"/>
          <w:b w:val="0"/>
          <w:i w:val="0"/>
          <w:sz w:val="28"/>
        </w:rPr>
        <w:t xml:space="preserve"> (п. 1 ст. 1227 ГК РФ)</w:t>
      </w:r>
    </w:p>
    <w:p>
      <w:r>
        <w:rPr>
          <w:rFonts w:ascii="Times New Roman" w:hAnsi="Times New Roman" w:cs="Times New Roman" w:eastAsia="Times New Roman"/>
          <w:b w:val="0"/>
          <w:i w:val="0"/>
          <w:sz w:val="28"/>
        </w:rPr>
        <w:t>Правообладатель сам решает, кому и на каких условиях разрешить использование результата; молчание правообладателя разрешением не является:</w:t>
      </w:r>
    </w:p>
    <w:p>
      <w:pPr>
        <w:spacing w:before="60" w:after="60"/>
        <w:ind w:left="709" w:firstLine="0"/>
      </w:pPr>
      <w:r>
        <w:rPr>
          <w:rFonts w:ascii="Times New Roman" w:hAnsi="Times New Roman" w:cs="Times New Roman" w:eastAsia="Times New Roman"/>
          <w:b w:val="0"/>
          <w:i/>
          <w:sz w:val="28"/>
        </w:rPr>
        <w:t>«Гражданин или юридическое лицо, обладающие исключительным правом на результат интеллектуальной деятельности или на средство индивидуализации (правообладатель), вправе использовать такой результат или такое средство по своему усмотрению любым не противоречащим закону способом. Правообладатель может по своему усмотрению разрешать или запрещать другим лицам использование результата интеллектуальной деятельности или средства индивидуализации. Отсутствие запрета не считается согласием (разрешением)»</w:t>
      </w:r>
      <w:r>
        <w:rPr>
          <w:rFonts w:ascii="Times New Roman" w:hAnsi="Times New Roman" w:cs="Times New Roman" w:eastAsia="Times New Roman"/>
          <w:b w:val="0"/>
          <w:i w:val="0"/>
          <w:sz w:val="28"/>
        </w:rPr>
        <w:t xml:space="preserve"> (абз. 1–2 п. 1 ст. 1229 ГК РФ)</w:t>
      </w:r>
    </w:p>
    <w:p>
      <w:r>
        <w:rPr>
          <w:rFonts w:ascii="Times New Roman" w:hAnsi="Times New Roman" w:cs="Times New Roman" w:eastAsia="Times New Roman"/>
          <w:b w:val="0"/>
          <w:i w:val="0"/>
          <w:sz w:val="28"/>
        </w:rPr>
        <w:t>Передача прав третьим лицам оформляется договором об отчуждении исключительного права либо лицензионным договором, в том числе в форме открытой лицензии (ст. 1286.1):</w:t>
      </w:r>
    </w:p>
    <w:p>
      <w:pPr>
        <w:spacing w:before="60" w:after="60"/>
        <w:ind w:left="709" w:firstLine="0"/>
      </w:pPr>
      <w:r>
        <w:rPr>
          <w:rFonts w:ascii="Times New Roman" w:hAnsi="Times New Roman" w:cs="Times New Roman" w:eastAsia="Times New Roman"/>
          <w:b w:val="0"/>
          <w:i/>
          <w:sz w:val="28"/>
        </w:rPr>
        <w:t>«Правообладатель может распорядиться принадлежащим ему исключительным правом на результат интеллектуальной деятельности или на средство индивидуализации любым не противоречащим закону и существу такого исключительного права способом, в том числе путем его отчуждения по договору другому лицу (договор об отчуждении исключительного права) или предоставления другому лицу права использования соответствующих результата интеллектуальной деятельности или средства индивидуализации в установленных договором пределах (лицензионный договор). Заключение лицензионного договора не влечет за собой переход исключительного права к лицензиату»</w:t>
      </w:r>
      <w:r>
        <w:rPr>
          <w:rFonts w:ascii="Times New Roman" w:hAnsi="Times New Roman" w:cs="Times New Roman" w:eastAsia="Times New Roman"/>
          <w:b w:val="0"/>
          <w:i w:val="0"/>
          <w:sz w:val="28"/>
        </w:rPr>
        <w:t xml:space="preserve"> (п. 1 ст. 1233 ГК РФ)</w:t>
      </w:r>
    </w:p>
    <w:p>
      <w:r>
        <w:rPr>
          <w:rFonts w:ascii="Times New Roman" w:hAnsi="Times New Roman" w:cs="Times New Roman" w:eastAsia="Times New Roman"/>
          <w:b w:val="0"/>
          <w:i w:val="0"/>
          <w:sz w:val="28"/>
        </w:rPr>
        <w:t>Регистрация программ и баз данных носит добровольный характер:</w:t>
      </w:r>
    </w:p>
    <w:p>
      <w:pPr>
        <w:spacing w:before="60" w:after="60"/>
        <w:ind w:left="709" w:firstLine="0"/>
      </w:pPr>
      <w:r>
        <w:rPr>
          <w:rFonts w:ascii="Times New Roman" w:hAnsi="Times New Roman" w:cs="Times New Roman" w:eastAsia="Times New Roman"/>
          <w:b w:val="0"/>
          <w:i/>
          <w:sz w:val="28"/>
        </w:rPr>
        <w:t>«Правообладатель в течение срока действия исключительного права на программу для ЭВМ или на базу данных может по своему желанию зарегистрировать такую программу или такую базу данных в федеральном органе исполнительной власти по интеллектуальной собственности»</w:t>
      </w:r>
      <w:r>
        <w:rPr>
          <w:rFonts w:ascii="Times New Roman" w:hAnsi="Times New Roman" w:cs="Times New Roman" w:eastAsia="Times New Roman"/>
          <w:b w:val="0"/>
          <w:i w:val="0"/>
          <w:sz w:val="28"/>
        </w:rPr>
        <w:t xml:space="preserve"> (п. 1 ст. 1262 ГК РФ)</w:t>
      </w:r>
    </w:p>
    <w:p>
      <w:r>
        <w:rPr>
          <w:rFonts w:ascii="Times New Roman" w:hAnsi="Times New Roman" w:cs="Times New Roman" w:eastAsia="Times New Roman"/>
          <w:b w:val="0"/>
          <w:i w:val="0"/>
          <w:sz w:val="28"/>
        </w:rPr>
        <w:t>Помимо приведённых норм, глава 69 устанавливает порядок государственной регистрации (ст. 1232), территорию действия прав (ст. 1231), случаи перехода исключительного права без договора (ст. 1241), правила коллективного управления (ст. 1242–1244). Она же определяет способы защиты интеллектуальных прав (ст. 1250, 1252): признание права, пресечение нарушения, взыскание убытков или компенсации, изъятие материального носителя, публикация решения суда. Практика применения этих норм обобщена в Постановлении Пленума Верховного Суда РФ от 23.04.2019 № 10 «О применении части четвертой Гражданского кодекса Российской Федерации».</w:t>
      </w:r>
    </w:p>
    <w:p>
      <w:r>
        <w:rPr>
          <w:rFonts w:ascii="Times New Roman" w:hAnsi="Times New Roman" w:cs="Times New Roman" w:eastAsia="Times New Roman"/>
          <w:b w:val="0"/>
          <w:i w:val="0"/>
          <w:sz w:val="28"/>
        </w:rPr>
        <w:t>Для разработчиков важна также статья 1295 о служебных произведениях: программа, написанная сотрудником в рамках должностных обязанностей, по общему правилу принадлежит работодателю, а за автором остаются личные неимущественные права.</w:t>
      </w:r>
    </w:p>
    <w:p>
      <w:r>
        <w:rPr>
          <w:rFonts w:ascii="Times New Roman" w:hAnsi="Times New Roman" w:cs="Times New Roman" w:eastAsia="Times New Roman"/>
          <w:b/>
          <w:i w:val="0"/>
          <w:sz w:val="28"/>
        </w:rPr>
        <w:t>4. Объекты интеллектуальной собственности в проекте «СППР оценки кредитоспособности».</w:t>
      </w:r>
      <w:r>
        <w:rPr>
          <w:rFonts w:ascii="Times New Roman" w:hAnsi="Times New Roman" w:cs="Times New Roman" w:eastAsia="Times New Roman"/>
          <w:b w:val="0"/>
          <w:i w:val="0"/>
          <w:sz w:val="28"/>
        </w:rPr>
        <w:t xml:space="preserve"> При создании системы появятся:</w:t>
      </w:r>
    </w:p>
    <w:p>
      <w:r>
        <w:rPr>
          <w:rFonts w:ascii="Times New Roman" w:hAnsi="Times New Roman" w:cs="Times New Roman" w:eastAsia="Times New Roman"/>
          <w:b w:val="0"/>
          <w:i w:val="0"/>
          <w:sz w:val="28"/>
        </w:rPr>
        <w:t>– программа для ЭВМ — код серверной и клиентской частей и сервиса скоринга (ст. 1261);</w:t>
      </w:r>
    </w:p>
    <w:p>
      <w:r>
        <w:rPr>
          <w:rFonts w:ascii="Times New Roman" w:hAnsi="Times New Roman" w:cs="Times New Roman" w:eastAsia="Times New Roman"/>
          <w:b w:val="0"/>
          <w:i w:val="0"/>
          <w:sz w:val="28"/>
        </w:rPr>
        <w:t>– база данных — хранилище заявок, решений и обучающая выборка (ст. 1260, 1334);</w:t>
      </w:r>
    </w:p>
    <w:p>
      <w:r>
        <w:rPr>
          <w:rFonts w:ascii="Times New Roman" w:hAnsi="Times New Roman" w:cs="Times New Roman" w:eastAsia="Times New Roman"/>
          <w:b w:val="0"/>
          <w:i w:val="0"/>
          <w:sz w:val="28"/>
        </w:rPr>
        <w:t>– произведения — проектная и пользовательская документация (ст. 1259);</w:t>
      </w:r>
    </w:p>
    <w:p>
      <w:r>
        <w:rPr>
          <w:rFonts w:ascii="Times New Roman" w:hAnsi="Times New Roman" w:cs="Times New Roman" w:eastAsia="Times New Roman"/>
          <w:b w:val="0"/>
          <w:i w:val="0"/>
          <w:sz w:val="28"/>
        </w:rPr>
        <w:t>– секрет производства — методика оценки заёмщика, набор признаков и баллы скоринговой карты (ст. 1465).</w:t>
      </w:r>
    </w:p>
    <w:p>
      <w:r>
        <w:rPr>
          <w:rFonts w:ascii="Times New Roman" w:hAnsi="Times New Roman" w:cs="Times New Roman" w:eastAsia="Times New Roman"/>
          <w:b w:val="0"/>
          <w:i w:val="0"/>
          <w:sz w:val="28"/>
        </w:rPr>
        <w:t>Чтобы закрепить права за Банком, следует предусмотреть соответствующие условия в трудовых договорах и договоре на разработку (ст. 1295, 1296), зарегистрировать программу и базу данных (ст. 1262) и ввести режим коммерческой тайны в отношении методики скоринга.</w:t>
      </w:r>
    </w:p>
    <w:p>
      <w:r>
        <w:rPr>
          <w:rFonts w:ascii="Times New Roman" w:hAnsi="Times New Roman" w:cs="Times New Roman" w:eastAsia="Times New Roman"/>
          <w:b/>
          <w:i w:val="0"/>
          <w:sz w:val="28"/>
        </w:rPr>
        <w:t>Вывод по заданию 6.</w:t>
      </w:r>
      <w:r>
        <w:rPr>
          <w:rFonts w:ascii="Times New Roman" w:hAnsi="Times New Roman" w:cs="Times New Roman" w:eastAsia="Times New Roman"/>
          <w:b w:val="0"/>
          <w:i w:val="0"/>
          <w:sz w:val="28"/>
        </w:rPr>
        <w:t xml:space="preserve"> Глава 69 ГК РФ распространяется на все объекты, перечисленные в ст. 1225. В сфере ИТ ключевое значение имеют программы для ЭВМ и базы данных (подп. 2, 3 п. 1 ст. 1225). Кроме того, к ИТ относятся документация и дизайн как произведения, изобретения и полезные модели, топологии интегральных микросхем, ноу-хау, а также средства индивидуализации разработчиков и программных продуктов. Нормы главы 69 определяют для этих объектов:</w:t>
      </w:r>
    </w:p>
    <w:p>
      <w:r>
        <w:rPr>
          <w:rFonts w:ascii="Times New Roman" w:hAnsi="Times New Roman" w:cs="Times New Roman" w:eastAsia="Times New Roman"/>
          <w:b w:val="0"/>
          <w:i w:val="0"/>
          <w:sz w:val="28"/>
        </w:rPr>
        <w:t>– состав интеллектуальных прав;</w:t>
      </w:r>
    </w:p>
    <w:p>
      <w:r>
        <w:rPr>
          <w:rFonts w:ascii="Times New Roman" w:hAnsi="Times New Roman" w:cs="Times New Roman" w:eastAsia="Times New Roman"/>
          <w:b w:val="0"/>
          <w:i w:val="0"/>
          <w:sz w:val="28"/>
        </w:rPr>
        <w:t>– содержание исключительного права и договорные способы распоряжения им;</w:t>
      </w:r>
    </w:p>
    <w:p>
      <w:r>
        <w:rPr>
          <w:rFonts w:ascii="Times New Roman" w:hAnsi="Times New Roman" w:cs="Times New Roman" w:eastAsia="Times New Roman"/>
          <w:b w:val="0"/>
          <w:i w:val="0"/>
          <w:sz w:val="28"/>
        </w:rPr>
        <w:t>– независимость прав от материального носителя;</w:t>
      </w:r>
    </w:p>
    <w:p>
      <w:r>
        <w:rPr>
          <w:rFonts w:ascii="Times New Roman" w:hAnsi="Times New Roman" w:cs="Times New Roman" w:eastAsia="Times New Roman"/>
          <w:b w:val="0"/>
          <w:i w:val="0"/>
          <w:sz w:val="28"/>
        </w:rPr>
        <w:t>– порядок регистрации и способы защиты.</w:t>
      </w:r>
    </w:p>
    <w:p>
      <w:r>
        <w:rPr>
          <w:rFonts w:ascii="Times New Roman" w:hAnsi="Times New Roman" w:cs="Times New Roman" w:eastAsia="Times New Roman"/>
          <w:b w:val="0"/>
          <w:i w:val="0"/>
          <w:sz w:val="28"/>
        </w:rPr>
        <w:t>7. В справочно-правовой системе «Гарант» найти Федеральный закон от 27 июля 2006 г. № 149-ФЗ «Об информации, информационных технологиях и защите информации». Дать письменный ответ на вопрос: какие виды ответственности за правонарушения в сфере информации, информационных технологий и защиты информации предусмотрены данным Федеральным законом?</w:t>
      </w:r>
    </w:p>
    <w:p>
      <w:pPr>
        <w:ind w:firstLine="0"/>
      </w:pPr>
      <w:r>
        <w:rPr>
          <w:rFonts w:ascii="Times New Roman" w:hAnsi="Times New Roman" w:cs="Times New Roman" w:eastAsia="Times New Roman"/>
          <w:b/>
          <w:i w:val="0"/>
          <w:sz w:val="28"/>
        </w:rPr>
        <w:t>Ответ:</w:t>
      </w:r>
    </w:p>
    <w:p>
      <w:r>
        <w:rPr>
          <w:rFonts w:ascii="Times New Roman" w:hAnsi="Times New Roman" w:cs="Times New Roman" w:eastAsia="Times New Roman"/>
          <w:b w:val="0"/>
          <w:i w:val="0"/>
          <w:sz w:val="28"/>
        </w:rPr>
        <w:t>Вопрос ответственности решается в статье 17 Федерального закона от 27.07.2006 № 149-ФЗ «Об информации, информационных технологиях и о защите информации», которая так и называется: «Ответственность за правонарушения в сфере информации, информационных технологий и защиты информации». Цитаты приведены по тексту закона в СПС «КонсультантПлюс» (действующая редакция).</w:t>
      </w:r>
    </w:p>
    <w:p>
      <w:r>
        <w:rPr>
          <w:rFonts w:ascii="Times New Roman" w:hAnsi="Times New Roman" w:cs="Times New Roman" w:eastAsia="Times New Roman"/>
          <w:b/>
          <w:i w:val="0"/>
          <w:sz w:val="28"/>
        </w:rPr>
        <w:t>1. Перечень видов ответственности.</w:t>
      </w:r>
      <w:r>
        <w:rPr>
          <w:rFonts w:ascii="Times New Roman" w:hAnsi="Times New Roman" w:cs="Times New Roman" w:eastAsia="Times New Roman"/>
          <w:b w:val="0"/>
          <w:i w:val="0"/>
          <w:sz w:val="28"/>
        </w:rPr>
        <w:t xml:space="preserve"> Его содержит первая часть статьи:</w:t>
      </w:r>
    </w:p>
    <w:p>
      <w:pPr>
        <w:spacing w:before="60" w:after="60"/>
        <w:ind w:left="709" w:firstLine="0"/>
      </w:pPr>
      <w:r>
        <w:rPr>
          <w:rFonts w:ascii="Times New Roman" w:hAnsi="Times New Roman" w:cs="Times New Roman" w:eastAsia="Times New Roman"/>
          <w:b w:val="0"/>
          <w:i/>
          <w:sz w:val="28"/>
        </w:rPr>
        <w:t>«Нарушение требований настоящего Федерального закона влечет за собой дисциплинарную, гражданско-правовую, административную или уголовную ответственность в соответствии с законодательством Российской Федерации»</w:t>
      </w:r>
      <w:r>
        <w:rPr>
          <w:rFonts w:ascii="Times New Roman" w:hAnsi="Times New Roman" w:cs="Times New Roman" w:eastAsia="Times New Roman"/>
          <w:b w:val="0"/>
          <w:i w:val="0"/>
          <w:sz w:val="28"/>
        </w:rPr>
        <w:t xml:space="preserve"> (ч. 1 ст. 17 Федерального закона № 149-ФЗ)</w:t>
      </w:r>
    </w:p>
    <w:p>
      <w:r>
        <w:rPr>
          <w:rFonts w:ascii="Times New Roman" w:hAnsi="Times New Roman" w:cs="Times New Roman" w:eastAsia="Times New Roman"/>
          <w:b w:val="0"/>
          <w:i w:val="0"/>
          <w:sz w:val="28"/>
        </w:rPr>
        <w:t>Таким образом, закон называет четыре вида ответственности — дисциплинарную, гражданско-правовую, административную и уголовную, — но сами составы нарушений и наказания за них в нём не прописаны. Статья отсылает к трудовому, гражданскому, административному и уголовному законодательству. Части 1.1 и 1.2 статьи 17 в настоящее время утратили силу (Федеральный закон от 29.12.2022 № 572-ФЗ).</w:t>
      </w:r>
    </w:p>
    <w:p>
      <w:r>
        <w:rPr>
          <w:rFonts w:ascii="Times New Roman" w:hAnsi="Times New Roman" w:cs="Times New Roman" w:eastAsia="Times New Roman"/>
          <w:b/>
          <w:i w:val="0"/>
          <w:sz w:val="28"/>
        </w:rPr>
        <w:t>2. Право на возмещение вреда и его ограничение.</w:t>
      </w:r>
      <w:r>
        <w:rPr>
          <w:rFonts w:ascii="Times New Roman" w:hAnsi="Times New Roman" w:cs="Times New Roman" w:eastAsia="Times New Roman"/>
          <w:b w:val="0"/>
          <w:i w:val="0"/>
          <w:sz w:val="28"/>
        </w:rPr>
        <w:t xml:space="preserve"> Вторая часть статьи гарантирует пострадавшим судебную защиту, но только если они сами выполняли обязанности по защите информации:</w:t>
      </w:r>
    </w:p>
    <w:p>
      <w:pPr>
        <w:spacing w:before="60" w:after="60"/>
        <w:ind w:left="709" w:firstLine="0"/>
      </w:pPr>
      <w:r>
        <w:rPr>
          <w:rFonts w:ascii="Times New Roman" w:hAnsi="Times New Roman" w:cs="Times New Roman" w:eastAsia="Times New Roman"/>
          <w:b w:val="0"/>
          <w:i/>
          <w:sz w:val="28"/>
        </w:rPr>
        <w:t>«Лица, права и законные интересы которых были нарушены в связи с разглашением информации ограниченного доступа или иным неправомерным использованием такой информации, вправе обратиться в установленном порядке за судебной защитой своих прав, в том числе с исками о возмещении убытков, компенсации морального вреда, защите чести, достоинства и деловой репутации. Требование о возмещении убытков не может быть удовлетворено в случае предъявления его лицом, не принимавшим мер по соблюдению конфиденциальности информации или нарушившим установленные законодательством Российской Федерации требования о защите информации, если принятие этих мер и соблюдение таких требований являлись обязанностями данного лица»</w:t>
      </w:r>
      <w:r>
        <w:rPr>
          <w:rFonts w:ascii="Times New Roman" w:hAnsi="Times New Roman" w:cs="Times New Roman" w:eastAsia="Times New Roman"/>
          <w:b w:val="0"/>
          <w:i w:val="0"/>
          <w:sz w:val="28"/>
        </w:rPr>
        <w:t xml:space="preserve"> (ч. 2 ст. 17 Федерального закона № 149-ФЗ)</w:t>
      </w:r>
    </w:p>
    <w:p>
      <w:r>
        <w:rPr>
          <w:rFonts w:ascii="Times New Roman" w:hAnsi="Times New Roman" w:cs="Times New Roman" w:eastAsia="Times New Roman"/>
          <w:b/>
          <w:i w:val="0"/>
          <w:sz w:val="28"/>
        </w:rPr>
        <w:t>3. Положение посредников.</w:t>
      </w:r>
      <w:r>
        <w:rPr>
          <w:rFonts w:ascii="Times New Roman" w:hAnsi="Times New Roman" w:cs="Times New Roman" w:eastAsia="Times New Roman"/>
          <w:b w:val="0"/>
          <w:i w:val="0"/>
          <w:sz w:val="28"/>
        </w:rPr>
        <w:t xml:space="preserve"> Третья часть статьи защищает тех, кто лишь передаёт или хранит чужую информацию:</w:t>
      </w:r>
    </w:p>
    <w:p>
      <w:pPr>
        <w:spacing w:before="60" w:after="60"/>
        <w:ind w:left="709" w:firstLine="0"/>
      </w:pPr>
      <w:r>
        <w:rPr>
          <w:rFonts w:ascii="Times New Roman" w:hAnsi="Times New Roman" w:cs="Times New Roman" w:eastAsia="Times New Roman"/>
          <w:b w:val="0"/>
          <w:i/>
          <w:sz w:val="28"/>
        </w:rPr>
        <w:t>«В случае, если распространение определенной информации ограничивается или запрещается федеральными законами, гражданско-правовую ответственность за распространение такой информации не несет лицо, оказывающее услуги: 1) либо по передаче информации, предоставленной другим лицом, при условии ее передачи без изменений и исправлений; 2) либо по хранению информации и обеспечению доступа к ней при условии, что это лицо не могло знать о незаконности распространения информации»</w:t>
      </w:r>
      <w:r>
        <w:rPr>
          <w:rFonts w:ascii="Times New Roman" w:hAnsi="Times New Roman" w:cs="Times New Roman" w:eastAsia="Times New Roman"/>
          <w:b w:val="0"/>
          <w:i w:val="0"/>
          <w:sz w:val="28"/>
        </w:rPr>
        <w:t xml:space="preserve"> (ч. 3 ст. 17 Федерального закона № 149-ФЗ)</w:t>
      </w:r>
    </w:p>
    <w:p>
      <w:r>
        <w:rPr>
          <w:rFonts w:ascii="Times New Roman" w:hAnsi="Times New Roman" w:cs="Times New Roman" w:eastAsia="Times New Roman"/>
          <w:b w:val="0"/>
          <w:i w:val="0"/>
          <w:sz w:val="28"/>
        </w:rPr>
        <w:t>В части 4 статьи 17 закреплено, что провайдер хостинга, оператор связи и владелец сайта не отвечают за ограничение доступа к информации, если действовали по требованиям закона. Часть 5 позволяет лицам, пострадавшим от неисполнения владельцем социальной сети обязанностей по статье 10.6, требовать в суде возмещения убытков и компенсации морального вреда.</w:t>
      </w:r>
    </w:p>
    <w:p>
      <w:r>
        <w:rPr>
          <w:rFonts w:ascii="Times New Roman" w:hAnsi="Times New Roman" w:cs="Times New Roman" w:eastAsia="Times New Roman"/>
          <w:b w:val="0"/>
          <w:i w:val="0"/>
          <w:sz w:val="28"/>
        </w:rPr>
        <w:t>Обязанность, за неисполнение которой наступает ответственность, сформулирована в статье 16:</w:t>
      </w:r>
    </w:p>
    <w:p>
      <w:pPr>
        <w:spacing w:before="60" w:after="60"/>
        <w:ind w:left="709" w:firstLine="0"/>
      </w:pPr>
      <w:r>
        <w:rPr>
          <w:rFonts w:ascii="Times New Roman" w:hAnsi="Times New Roman" w:cs="Times New Roman" w:eastAsia="Times New Roman"/>
          <w:b w:val="0"/>
          <w:i/>
          <w:sz w:val="28"/>
        </w:rPr>
        <w:t>«Защита информации представляет собой принятие правовых, организационных и технических мер, направленных на: 1) обеспечение защиты информации от неправомерного доступа, уничтожения, модифицирования, блокирования, копирования, предоставления, распространения, а также от иных неправомерных действий в отношении такой информации; 2) соблюдение конфиденциальности информации ограниченного доступа; 3) реализацию права на доступ к информации»</w:t>
      </w:r>
      <w:r>
        <w:rPr>
          <w:rFonts w:ascii="Times New Roman" w:hAnsi="Times New Roman" w:cs="Times New Roman" w:eastAsia="Times New Roman"/>
          <w:b w:val="0"/>
          <w:i w:val="0"/>
          <w:sz w:val="28"/>
        </w:rPr>
        <w:t xml:space="preserve"> (ч. 1 ст. 16 Федерального закона № 149-ФЗ)</w:t>
      </w:r>
    </w:p>
    <w:p>
      <w:r>
        <w:rPr>
          <w:rFonts w:ascii="Times New Roman" w:hAnsi="Times New Roman" w:cs="Times New Roman" w:eastAsia="Times New Roman"/>
          <w:b/>
          <w:i w:val="0"/>
          <w:sz w:val="28"/>
        </w:rPr>
        <w:t>4. Составы правонарушений в отраслевом законодательстве.</w:t>
      </w:r>
      <w:r>
        <w:rPr>
          <w:rFonts w:ascii="Times New Roman" w:hAnsi="Times New Roman" w:cs="Times New Roman" w:eastAsia="Times New Roman"/>
          <w:b w:val="0"/>
          <w:i w:val="0"/>
          <w:sz w:val="28"/>
        </w:rPr>
        <w:t xml:space="preserve"> Нормы, на которые ссылается статья 17, сведены в таблицу 1.7.</w:t>
      </w:r>
    </w:p>
    <w:p>
      <w:pPr>
        <w:keepNext/>
        <w:ind w:firstLine="0"/>
        <w:jc w:val="left"/>
      </w:pPr>
      <w:r>
        <w:rPr>
          <w:rFonts w:ascii="Times New Roman" w:hAnsi="Times New Roman" w:cs="Times New Roman" w:eastAsia="Times New Roman"/>
          <w:b w:val="0"/>
          <w:i w:val="0"/>
          <w:sz w:val="28"/>
        </w:rPr>
        <w:t>Таблица 1.7 – Ответственность за нарушения в сфере информации и её защиты по отраслям права</w:t>
      </w:r>
    </w:p>
    <w:tbl>
      <w:tblPr>
        <w:tblStyle w:val="TableGrid"/>
        <w:tblW w:type="auto" w:w="0"/>
        <w:jc w:val="center"/>
        <w:tblLayout w:type="fixed"/>
        <w:tblLook w:firstColumn="1" w:firstRow="1" w:lastColumn="0" w:lastRow="0" w:noHBand="0" w:noVBand="1" w:val="04A0"/>
        <w:tblLayout w:type="fixed"/>
        <w:tblCaption w:val="1.7|0"/>
      </w:tblPr>
      <w:tblGrid>
        <w:gridCol w:w="1814"/>
        <w:gridCol w:w="2835"/>
        <w:gridCol w:w="4706"/>
      </w:tblGrid>
      <w:tr>
        <w:trPr>
          <w:cantSplit/>
          <w:tblHeader/>
        </w:trPr>
        <w:tc>
          <w:tcPr>
            <w:tcW w:type="dxa" w:w="1814"/>
          </w:tcPr>
          <w:p>
            <w:pPr>
              <w:keepNext/>
              <w:widowControl w:val="0"/>
              <w:spacing w:line="240" w:lineRule="auto" w:after="0"/>
              <w:ind w:firstLine="0"/>
              <w:jc w:val="center"/>
            </w:pPr>
            <w:r/>
            <w:r>
              <w:rPr>
                <w:rFonts w:ascii="Times New Roman" w:hAnsi="Times New Roman" w:cs="Times New Roman" w:eastAsia="Times New Roman"/>
                <w:b w:val="0"/>
                <w:i w:val="0"/>
                <w:sz w:val="24"/>
              </w:rPr>
              <w:t>Вид ответственности</w:t>
            </w:r>
          </w:p>
        </w:tc>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Где установлена</w:t>
            </w:r>
          </w:p>
        </w:tc>
        <w:tc>
          <w:tcPr>
            <w:tcW w:type="dxa" w:w="4706"/>
          </w:tcPr>
          <w:p>
            <w:pPr>
              <w:keepNext/>
              <w:widowControl w:val="0"/>
              <w:spacing w:line="240" w:lineRule="auto" w:after="0"/>
              <w:ind w:firstLine="0"/>
              <w:jc w:val="center"/>
            </w:pPr>
            <w:r/>
            <w:r>
              <w:rPr>
                <w:rFonts w:ascii="Times New Roman" w:hAnsi="Times New Roman" w:cs="Times New Roman" w:eastAsia="Times New Roman"/>
                <w:b w:val="0"/>
                <w:i w:val="0"/>
                <w:sz w:val="24"/>
              </w:rPr>
              <w:t>Примеры нарушений и санкций</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Дисциплинарная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ТК РФ: ст. 192, подп. «в» п. 6 ч. 1 ст. 81, ст. 90</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Работник, разгласивший охраняемую законом тайну (в том числе банковскую или персональные данные), ставшую известной ему по работе, может получить замечание, выговор или быть уволен</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Гражданско-правовая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149-ФЗ, ч. 2 ст. 17; ГК РФ, ст. 15, 151, 152, 1064; 152-ФЗ, ст. 24; 98-ФЗ, ст. 14</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Взыскание убытков и компенсации морального вреда с лица, неправомерно использовавшего информацию; защита деловой репутации; возмещение вреда субъекту персональных данных</w:t>
            </w:r>
          </w:p>
        </w:tc>
      </w:tr>
    </w:tbl>
    <w:p>
      <w:pPr>
        <w:keepNext/>
        <w:ind w:firstLine="0"/>
        <w:jc w:val="right"/>
      </w:pPr>
      <w:r>
        <w:rPr>
          <w:rFonts w:ascii="Times New Roman" w:hAnsi="Times New Roman" w:cs="Times New Roman" w:eastAsia="Times New Roman"/>
          <w:b w:val="0"/>
          <w:i w:val="0"/>
          <w:sz w:val="28"/>
        </w:rPr>
        <w:t>Продолжение таблицы 1.7</w:t>
      </w:r>
    </w:p>
    <w:tbl>
      <w:tblPr>
        <w:tblStyle w:val="TableGrid"/>
        <w:tblW w:type="auto" w:w="0"/>
        <w:jc w:val="center"/>
        <w:tblLayout w:type="fixed"/>
        <w:tblLook w:firstColumn="1" w:firstRow="1" w:lastColumn="0" w:lastRow="0" w:noHBand="0" w:noVBand="1" w:val="04A0"/>
        <w:tblLayout w:type="fixed"/>
        <w:tblCaption w:val="1.7|2"/>
      </w:tblPr>
      <w:tblGrid>
        <w:gridCol w:w="1814"/>
        <w:gridCol w:w="2835"/>
        <w:gridCol w:w="4706"/>
      </w:tblGrid>
      <w:tr>
        <w:trPr>
          <w:cantSplit/>
          <w:tblHeader/>
        </w:trPr>
        <w:tc>
          <w:tcPr>
            <w:tcW w:type="dxa" w:w="1814"/>
          </w:tcPr>
          <w:p>
            <w:pPr>
              <w:keepNext/>
              <w:widowControl w:val="0"/>
              <w:spacing w:line="240" w:lineRule="auto" w:after="0"/>
              <w:ind w:firstLine="0"/>
              <w:jc w:val="center"/>
            </w:pPr>
            <w:r/>
            <w:r>
              <w:rPr>
                <w:rFonts w:ascii="Times New Roman" w:hAnsi="Times New Roman" w:cs="Times New Roman" w:eastAsia="Times New Roman"/>
                <w:b w:val="0"/>
                <w:i w:val="0"/>
                <w:sz w:val="24"/>
              </w:rPr>
              <w:t>Вид ответственности</w:t>
            </w:r>
          </w:p>
        </w:tc>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Где установлена</w:t>
            </w:r>
          </w:p>
        </w:tc>
        <w:tc>
          <w:tcPr>
            <w:tcW w:type="dxa" w:w="4706"/>
          </w:tcPr>
          <w:p>
            <w:pPr>
              <w:keepNext/>
              <w:widowControl w:val="0"/>
              <w:spacing w:line="240" w:lineRule="auto" w:after="0"/>
              <w:ind w:firstLine="0"/>
              <w:jc w:val="center"/>
            </w:pPr>
            <w:r/>
            <w:r>
              <w:rPr>
                <w:rFonts w:ascii="Times New Roman" w:hAnsi="Times New Roman" w:cs="Times New Roman" w:eastAsia="Times New Roman"/>
                <w:b w:val="0"/>
                <w:i w:val="0"/>
                <w:sz w:val="24"/>
              </w:rPr>
              <w:t>Примеры нарушений и санкций</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Административная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КоАП РФ, гл. 13: ст. 13.11, 13.12, 13.14, 13.31, 13.41</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Штрафы за нарушения в области персональных данных (с 30.05.2025 ст. 13.11 дополнена ч. 12–18 об утечках — Федеральный закон от 30.11.2024 № 420-ФЗ; за повторную утечку — штраф, исчисляемый от выручки), за нарушение правил защиты информации, разглашение информации ограниченного доступа, неисполнение обязанностей организатора распространения информации, нарушение порядка ограничения доступа</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Уголовная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УК РФ: ст. 137, 138, 183 и гл. 28 (ст. 272–274.1)</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Неправомерный доступ к компьютерной информации (ст. 272); незаконный оборот компьютерной информации с персональными данными (ст. 272.1, Федеральный закон от 30.11.2024 № 421-ФЗ); вредоносные программы (ст. 273); нарушение правил эксплуатации средств обработки информации (ст. 274); атаки на КИИ (ст. 274.1); разглашение банковской или коммерческой тайны (ст. 183); нарушение неприкосновенности частной жизни и тайны переписки (ст. 137, 138)</w:t>
            </w:r>
          </w:p>
        </w:tc>
      </w:tr>
    </w:tbl>
    <w:p>
      <w:pPr>
        <w:spacing w:line="240" w:lineRule="auto"/>
      </w:pPr>
    </w:p>
    <w:p>
      <w:r>
        <w:rPr>
          <w:rFonts w:ascii="Times New Roman" w:hAnsi="Times New Roman" w:cs="Times New Roman" w:eastAsia="Times New Roman"/>
          <w:b/>
          <w:i w:val="0"/>
          <w:sz w:val="28"/>
        </w:rPr>
        <w:t>5. Значение для проекта «СППР оценки кредитоспособности».</w:t>
      </w:r>
      <w:r>
        <w:rPr>
          <w:rFonts w:ascii="Times New Roman" w:hAnsi="Times New Roman" w:cs="Times New Roman" w:eastAsia="Times New Roman"/>
          <w:b w:val="0"/>
          <w:i w:val="0"/>
          <w:sz w:val="28"/>
        </w:rPr>
        <w:t xml:space="preserve"> Система работает с персональными данными заёмщиков, а также обрабатывает персональные данные заёмщиков и сведения из их кредитных историй. Банк как оператор обязан обеспечить их защиту по ст. 16 Закона № 149-ФЗ и ст. 19 Закона № 152-ФЗ.</w:t>
      </w:r>
    </w:p>
    <w:p>
      <w:r>
        <w:rPr>
          <w:rFonts w:ascii="Times New Roman" w:hAnsi="Times New Roman" w:cs="Times New Roman" w:eastAsia="Times New Roman"/>
          <w:b w:val="0"/>
          <w:i w:val="0"/>
          <w:sz w:val="28"/>
        </w:rPr>
        <w:t>Если эти меры не приняты, Банку грозят штрафы по ст. 13.11 и 13.12 КоАП РФ, иски клиентов о возмещении вреда, а виновным сотрудникам или злоумышленникам — уголовное преследование по ст. 183, 272 и 272.1 УК РФ. При этом согласно ч. 2 ст. 17 Закона № 149-ФЗ Банк, не обеспечивший конфиденциальность, не сможет взыскать убытки с нарушителя.</w:t>
      </w:r>
    </w:p>
    <w:p>
      <w:r>
        <w:rPr>
          <w:rFonts w:ascii="Times New Roman" w:hAnsi="Times New Roman" w:cs="Times New Roman" w:eastAsia="Times New Roman"/>
          <w:b w:val="0"/>
          <w:i w:val="0"/>
          <w:sz w:val="28"/>
        </w:rPr>
        <w:t>Поэтому в требованиях к системе предусмотрены ролевой доступ, протоколирование действий пользователей, шифрование при передаче данных и обезличенный показ сведений при анализе качества методики оценки.</w:t>
      </w:r>
    </w:p>
    <w:p>
      <w:r>
        <w:rPr>
          <w:rFonts w:ascii="Times New Roman" w:hAnsi="Times New Roman" w:cs="Times New Roman" w:eastAsia="Times New Roman"/>
          <w:b/>
          <w:i w:val="0"/>
          <w:sz w:val="28"/>
        </w:rPr>
        <w:t>Вывод по заданию 7.</w:t>
      </w:r>
      <w:r>
        <w:rPr>
          <w:rFonts w:ascii="Times New Roman" w:hAnsi="Times New Roman" w:cs="Times New Roman" w:eastAsia="Times New Roman"/>
          <w:b w:val="0"/>
          <w:i w:val="0"/>
          <w:sz w:val="28"/>
        </w:rPr>
        <w:t xml:space="preserve"> Закон № 149-ФЗ устанавливает, что за нарушение его требований наступает дисциплинарная, гражданско-правовая, административная или уголовная ответственность (ч. 1 ст. 17), конкретизируемая ТК РФ, ГК РФ, КоАП РФ и УК РФ. Кроме того, статья 17:</w:t>
      </w:r>
    </w:p>
    <w:p>
      <w:r>
        <w:rPr>
          <w:rFonts w:ascii="Times New Roman" w:hAnsi="Times New Roman" w:cs="Times New Roman" w:eastAsia="Times New Roman"/>
          <w:b w:val="0"/>
          <w:i w:val="0"/>
          <w:sz w:val="28"/>
        </w:rPr>
        <w:t>– даёт пострадавшим право требовать в суде возмещения убытков и морального вреда (ч. 2);</w:t>
      </w:r>
    </w:p>
    <w:p>
      <w:r>
        <w:rPr>
          <w:rFonts w:ascii="Times New Roman" w:hAnsi="Times New Roman" w:cs="Times New Roman" w:eastAsia="Times New Roman"/>
          <w:b w:val="0"/>
          <w:i w:val="0"/>
          <w:sz w:val="28"/>
        </w:rPr>
        <w:t>– отказывает в возмещении убытков тому, кто сам не защитил информацию (ч. 2);</w:t>
      </w:r>
    </w:p>
    <w:p>
      <w:r>
        <w:rPr>
          <w:rFonts w:ascii="Times New Roman" w:hAnsi="Times New Roman" w:cs="Times New Roman" w:eastAsia="Times New Roman"/>
          <w:b w:val="0"/>
          <w:i w:val="0"/>
          <w:sz w:val="28"/>
        </w:rPr>
        <w:t>– освобождает от ответственности операторов связи, хостинг-провайдеров и владельцев сайтов при соблюдении условий закона (ч. 3, 4).</w:t>
      </w:r>
    </w:p>
    <w:p>
      <w:pPr>
        <w:pStyle w:val="Heading1"/>
      </w:pPr>
      <w:r>
        <w:rPr>
          <w:rFonts w:ascii="Times New Roman" w:hAnsi="Times New Roman" w:cs="Times New Roman" w:eastAsia="Times New Roman"/>
          <w:b/>
          <w:i w:val="0"/>
          <w:sz w:val="28"/>
        </w:rPr>
        <w:t>Вывод</w:t>
      </w:r>
    </w:p>
    <w:p>
      <w:r>
        <w:rPr>
          <w:rFonts w:ascii="Times New Roman" w:hAnsi="Times New Roman" w:cs="Times New Roman" w:eastAsia="Times New Roman"/>
          <w:b w:val="0"/>
          <w:i w:val="0"/>
          <w:sz w:val="28"/>
        </w:rPr>
        <w:t>По итогам работы систематизированы нормативные документы, определяющие порядок создания и сопровождения информационных систем. Рассмотрены стандарты комплекса ГОСТ 34 и Единой системы программной документации (ГОСТ 19), национальные стандарты, идентичные ISO/IEC, а также международные методологии и своды знаний (IDEF, ITIL, COBIT, CMMI, PMBOK и др.). По ГОСТ 34.201-89 определены виды и назначение документов, по ГОСТ 34.601-90 — стадии и этапы создания АС. Законодательные акты в сфере информационных технологий распределены по группам.</w:t>
      </w:r>
    </w:p>
    <w:p>
      <w:r>
        <w:rPr>
          <w:rFonts w:ascii="Times New Roman" w:hAnsi="Times New Roman" w:cs="Times New Roman" w:eastAsia="Times New Roman"/>
          <w:b w:val="0"/>
          <w:i w:val="0"/>
          <w:sz w:val="28"/>
        </w:rPr>
        <w:t>Для системы поддержки принятия решений по оценке кредитоспособности физических лиц (базовая редакция для небольшой микрофинансовой организации или кредитного кооператива) из рассмотренного комплекса будут использованы: ГОСТ 34.601-90 (ГОСТ Р 59793-2021) — для организации стадий работ, ГОСТ 34.602 — для оформления технического задания, ГОСТ Р ИСО/МЭК 12207 — для построения процессов разработки и сопровождения, ISO/IEC 25010 — для задания требований к качеству. Поскольку система обрабатывает сведения о заёмщиках, её разработка и эксплуатация должны соответствовать 152-ФЗ «О персональных данных», 218-ФЗ «О кредитных историях», 353-ФЗ «О потребительском кредите (займе)», а также 151-ФЗ и 190-ФЗ, регулирующим деятельность микрофинансовых организаций и кредитных кооперативов.</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cs="Times New Roman" w:eastAsia="Times New Roman"/>
      <w:sz w:val="28"/>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heme="majorHAnsi" w:eastAsiaTheme="majorEastAsia" w:hAnsiTheme="majorHAnsi" w:cstheme="majorBidi" w:ascii="Times New Roman" w:hAnsi="Times New Roman" w:cs="Times New Roman" w:eastAsia="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cs="Times New Roman" w:eastAsia="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