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Министерство науки и высшего образования РФ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«Тульский государственный университет»</w:t>
      </w:r>
    </w:p>
    <w:p>
      <w:pPr>
        <w:spacing w:line="276" w:lineRule="auto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Институт прикладной математики и компьютерных наук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РАЗРАБОТКА ТРЕБОВАНИЙ К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ИНФОРМАЦИОННОЙ СИСТЕМЕ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Отчет по выполнению практической работы № 4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курсу «</w:t>
      </w:r>
      <w:r>
        <w:rPr>
          <w:rFonts w:ascii="Times New Roman" w:hAnsi="Times New Roman" w:cs="Times New Roman" w:eastAsia="Times New Roman"/>
          <w:b/>
          <w:i w:val="0"/>
          <w:sz w:val="28"/>
        </w:rPr>
        <w:t>Программная инженерия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Тема: «Разработка информационной системы планирования процессов закупки и продажи цветочной продукции»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Выполнил ст. гр. </w:t>
      </w:r>
      <w:r>
        <w:rPr>
          <w:rFonts w:ascii="Times New Roman" w:hAnsi="Times New Roman" w:cs="Times New Roman" w:eastAsia="Times New Roman"/>
          <w:b w:val="0"/>
          <w:i/>
          <w:sz w:val="28"/>
        </w:rPr>
        <w:t>_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_</w:t>
        <w:tab/>
        <w:t>Фамилия И. О.</w:t>
      </w: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Проверил преп.</w:t>
        <w:tab/>
        <w:t>Лисняк М. В.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keepNext w:val="0"/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Тула 2026</w:t>
      </w:r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1 Цель работы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Составить и проанализировать требования к информационной системе, оформить техническое задание на разработку программного обеспечения.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2 Введение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Работа выполняется для информационной системы планирования процессов закупки и продажи цветочной продукции, описание которой составлено в практической работе № 3. Цель работы — сформировать полный и непротиворечивый набор требований к системе и оформить техническое задание на её создание.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Для формирования и анализа требований используется метод VORD (Viewpoint-Oriented Requirements Definition — определение требований на основе точек зрения), включающий четыре этапа: идентификацию точек зрения и соответствующих им сервисов, структурирование точек зрения (построение иерархии), документирование точек зрения и отображение системы точек зрения на объекты информационной модели.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3 Программно-аппаратные средства, используемые при выполнении работы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4.1 – Программно-аппаратные средства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1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Средство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Характеристика и назначение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Персональный компьютер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Процессор x86-64 (4 ядра, 3,0 ГГц), ОЗУ 16 ГБ, SSD 512 ГБ, монитор 24″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Операционная система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Windows 11 Pro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Текстовый редактор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Word 2021 — оформление отчёта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Средства моделирования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PlantUML, Python 3.12 (matplotlib) — построение схем и диаграмм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Справочно-правовые системы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«Гарант», «КонсультантПлюс» — нормативная база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контроля версий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Git, GitHub — хранение материалов проекта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4 Основная часть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4.1 Идентификация точек зрения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«мозгового штурма» были выявлены потенциальные получатели системных сервисов (прямые точки зрения — пользователи и внешние системы, непосредственно взаимодействующие с системой), косвенные точки зрения (лица и организации, заинтересованные в результатах работы системы, но не работающие с ней напрямую) и точки зрения предметной области (ограничения, налагаемые нормативными требованиями и характеристиками предметной области).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идентификации точек зрения представлена на рисунке 4.1. Тёмными овалами обозначены точки зрения, светлыми — идентифицированные системные сервисы.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29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4_vord_identific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29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4.1 – Диаграмма идентификации точек зрения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Распределение сервисов по точкам зрения приведено в таблице 4.2.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4.2 – Сервисы, соотнесённые с точками зрения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2|0"/>
      </w:tblPr>
      <w:tblGrid>
        <w:gridCol w:w="2381"/>
        <w:gridCol w:w="1587"/>
        <w:gridCol w:w="5386"/>
      </w:tblGrid>
      <w:tr>
        <w:trPr>
          <w:cantSplit/>
          <w:tblHeader/>
        </w:trPr>
        <w:tc>
          <w:tcPr>
            <w:tcW w:type="dxa" w:w="238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</w:t>
            </w:r>
          </w:p>
        </w:tc>
        <w:tc>
          <w:tcPr>
            <w:tcW w:type="dxa" w:w="15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538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Просмотр прогноза спроса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Формирование плана закупок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Корректировка заказа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Отправка заказа поставщику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Контроль исполнения заказа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Ведение условий поставщиков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Приёмка поставки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Оприходование партий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Перемещение в салоны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Списание товара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Инвентаризация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Продавец-флорист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Просмотр остатков и сроков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Рекомендации по уценке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Приём предзаказа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4.2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2|3"/>
      </w:tblPr>
      <w:tblGrid>
        <w:gridCol w:w="2381"/>
        <w:gridCol w:w="1587"/>
        <w:gridCol w:w="5386"/>
      </w:tblGrid>
      <w:tr>
        <w:trPr>
          <w:cantSplit/>
          <w:tblHeader/>
        </w:trPr>
        <w:tc>
          <w:tcPr>
            <w:tcW w:type="dxa" w:w="238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</w:t>
            </w:r>
          </w:p>
        </w:tc>
        <w:tc>
          <w:tcPr>
            <w:tcW w:type="dxa" w:w="15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538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интернет-магазина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Обработка онлайн-заказа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Резервирование товара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Директор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Утверждение бюджета закупок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Утверждение крупных заказов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Аналитические отчёты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Аналитик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Настройка модели прогноза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Мониторинг точности прогноза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Ведение календаря событий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Администратор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Управление пользователями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Резервное копирование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Кассы и «1С:Розница»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 (внешняя система)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Передача чеков продаж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Приём цен и уценок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Интернет-магазин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 (внешняя система)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Получение остатков и цен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Передача заказов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Поставщик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Косвенная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Получение заказа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Подтверждение поставки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Покупатель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Косвенная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Наличие товара в праздники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Свежая продукция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Торговое законодательство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Предметной области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Учёт продаж через ККТ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Фитосанитарные документы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 Структурирование точек зрения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Выявленные точки зрения сгруппированы в иерархию (рисунок 4.2): пользователи системы (сотрудники товародвижения, сотрудники продаж, управление и аналитика), внешние системы и заинтересованные лица. Общесистемные сервисы (аутентификация, журнал действий, просмотр номенклатуры и остатков) предоставляются на верхнем уровне и наследуются всеми точками зрения нижних уровней; сервисы работы с партиями и остатками являются общими для групп «Сотрудники товародвижения» и «Сотрудники продаж».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1154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4_vord_hierarch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15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4.2 – Диаграмма иерархии точек зрения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4.3 Документирование точек зрения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Для ключевых точек зрения выполнено документирование в виде шаблонов, содержащих описание точки зрения, предоставляемые ей сервисы, исходные данные, события и исключительные ситуации (таблица 4.3).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4.3 – Шаблоны описания ключевых точек зрения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3|0"/>
      </w:tblPr>
      <w:tblGrid>
        <w:gridCol w:w="2551"/>
        <w:gridCol w:w="6803"/>
      </w:tblGrid>
      <w:tr>
        <w:trPr>
          <w:cantSplit/>
          <w:tblHeader/>
        </w:trPr>
        <w:tc>
          <w:tcPr>
            <w:tcW w:type="dxa" w:w="255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 шаблона</w:t>
            </w:r>
          </w:p>
        </w:tc>
        <w:tc>
          <w:tcPr>
            <w:tcW w:type="dxa" w:w="680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 «Менеджер по закупкам»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Сотрудник, отвечающий за формирование и размещение заказов поставщикам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 (интервью, наблюдение), регламент закупок Компании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Сервисы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Просмотр прогноза спроса; формирование плана закупок; корректировка заказа; отправка заказа поставщику; контроль исполнения; ведение условий поставщиков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Входные данные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 спроса (P50, P80, P95), остатки по партиям и срокам, заказы в пути, условия поставщиков, бюджет закупок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События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Наступление дня формирования заказа по графику поставщика; приближение праздника; срыв поставки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Исключительные ситуации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 не рассчитан — используется прогноз предыдущего дня с предупреждением; сумма заказов превышает бюджет — требуется утверждение директора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 «Кладовщик»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Сотрудник склада, принимающий поставки и обеспечивающий хранение и перемещение товара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Заведующий складом (интервью), правила приёмки и хранения срезанных цветов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Сервисы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Приёмка поставки; оприходование партий; перемещение в салоны; списание; инвентаризация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Входные данные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 поставщику, накладная, фактическое количество и качество товара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События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Поступление поставки; потеря товарного вида партии; плановая инвентаризация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4.3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3|13"/>
      </w:tblPr>
      <w:tblGrid>
        <w:gridCol w:w="2551"/>
        <w:gridCol w:w="6803"/>
      </w:tblGrid>
      <w:tr>
        <w:trPr>
          <w:cantSplit/>
          <w:tblHeader/>
        </w:trPr>
        <w:tc>
          <w:tcPr>
            <w:tcW w:type="dxa" w:w="255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 шаблона</w:t>
            </w:r>
          </w:p>
        </w:tc>
        <w:tc>
          <w:tcPr>
            <w:tcW w:type="dxa" w:w="680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Исключительные ситуации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Расхождение с заказом — оформление акта расхождений; товар без фитосанитарных документов — приёмка запрещается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 «Кассы и «1С:Розница»»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Внешняя учётная система, фиксирующая продажи через онлайн-кассы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Сервисы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Передача чеков продаж; приём цен и уценок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Исключительные ситуации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Обмен недоступен — повторная загрузка при восстановлении связи, данные за пропущенный период догружаются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4.4 Информационная модель системы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Информационная модель системы построена на основе анализа точек зрения и представлена в виде диаграммы «сущность–связь» (рисунок 4.3). Центральными объектами модели являются партия товара (единица учёта сроков реализации), заказ поставщику и прогноз спроса.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441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4_er_mod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44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4.3 – Информационная модель системы (диаграмма «сущность–связь»)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основных объектов информационной модели приведено в таблице 4.4.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4.4 – Объекты информационной модели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4|0"/>
      </w:tblPr>
      <w:tblGrid>
        <w:gridCol w:w="2041"/>
        <w:gridCol w:w="3628"/>
        <w:gridCol w:w="3685"/>
      </w:tblGrid>
      <w:tr>
        <w:trPr>
          <w:cantSplit/>
          <w:tblHeader/>
        </w:trPr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Объект</w:t>
            </w:r>
          </w:p>
        </w:tc>
        <w:tc>
          <w:tcPr>
            <w:tcW w:type="dxa" w:w="36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368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Основные атрибуты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Товар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Номенклатурная позиция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Вид, сорт, длина стебля, цвет, срок реализации, кратность упаковки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Поставщик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Импортёр или производитель продукции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Наименование, страна, срок поставки, минимальная сумма заказа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Условие поставки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Цена и кратность поставки товара конкретным поставщиком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Товар, поставщик, цена, кратность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 поставщику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Документ на закупку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Поставщик, дата, ожидаемая дата поставки, статус, сумма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Строка заказа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Позиция заказа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Товар, рекомендованное и заказанное количество, цена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Место хранения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Склад или салон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Наименование, тип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Партия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Количество товара одной поставки с общим сроком реализации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Дата поступления, годен до, количество, остаток, себестоимость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Продажа, строка продажи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Чек продажи и его позиции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Место, дата, канал; партия, количество, цена, скидка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Списание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Выбытие товара по причине потери качества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Партия, количество, причина, дата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 спроса на дату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Товар, место, модель, P50, P80, P95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Модель прогноза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Версия статистической модели прогнозирования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Версия, алгоритм, WAPE, статус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Событие календаря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Праздник или акция, влияющие на спрос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Дата, наименование, тип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Канал продаж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Интернет-магазин или маркетплейс, подключённый к системе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Код, наименование, место хранения, коэффициент цены, хеш ключа доступа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Онлайн-заказ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 или предзаказ покупателя, поступивший из канала продаж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Канал, номер, дата доставки, статус, покупатель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Резерв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Количество товара партии, закреплённое за онлайн-заказом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Заказ, партия, количество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модели: поставщик поставляет товары на определённых условиях; по заказу поставщику поступает одна или несколько партий, каждая из которых размещается в месте хранения; продажи и списания уменьшают остаток конкретных партий, что обеспечивает контроль сроков реализации. Прогноз рассчитывается для пары «товар — место хранения» версией модели прогноза с учётом событий календаря и используется при расчёте рекомендуемого количества в строках заказа. Онлайн-заказ поступает из канала продаж и резервирует остатки конкретных партий, годных на дату доставки; предзаказ без доступного товара резервируется при поступлении продукции.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4.5 Пользовательские требования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На основании информационной модели, диаграмм идентификации и иерархии точек зрения сформированы пользовательские требования — описание на естественном языке функций, выполняемых системой, и ограничений, накладываемых на неё (таблица 4.5).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4.5 – Пользовательские требования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5|0"/>
      </w:tblPr>
      <w:tblGrid>
        <w:gridCol w:w="794"/>
        <w:gridCol w:w="5443"/>
        <w:gridCol w:w="1928"/>
        <w:gridCol w:w="1191"/>
      </w:tblGrid>
      <w:tr>
        <w:trPr>
          <w:cantSplit/>
          <w:tblHeader/>
        </w:trPr>
        <w:tc>
          <w:tcPr>
            <w:tcW w:type="dxa" w:w="79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Код</w:t>
            </w:r>
          </w:p>
        </w:tc>
        <w:tc>
          <w:tcPr>
            <w:tcW w:type="dxa" w:w="544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Требование</w:t>
            </w:r>
          </w:p>
        </w:tc>
        <w:tc>
          <w:tcPr>
            <w:tcW w:type="dxa" w:w="19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</w:t>
            </w:r>
          </w:p>
        </w:tc>
        <w:tc>
          <w:tcPr>
            <w:tcW w:type="dxa" w:w="119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Приоритет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хранить номенклатуру с характеристиками, поставщиков и условия поставки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П-2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 должен иметь возможность принять поставку с ТСД, указать фактическое количество и качество и оприходовать товар партиями со сроком реализации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П-3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показывать остатки по партиям и срокам реализации на складе и в каждом салоне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Продавец-флорист, Кладовщик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П-4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автоматически получать данные о продажах из касс и «1С:Розница»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Кассы и «1С»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П-5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ежедневно строить прогноз спроса по товарам и торговым точкам на 14 дней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П-6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формировать рекомендуемый заказ поставщику с учётом прогноза, остатков, сроков, кратности и бюджета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П-7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должен иметь возможность скорректировать рекомендуемый заказ и отправить его поставщику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закупкам, Поставщик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П-8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Заказы сверх утверждённого бюджета должны утверждаться директором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Директор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П-9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рекомендовать уценку партий с истекающим сроком реализации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Продавец-флорист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П-10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учитывать списания с указанием причин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П-11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Интернет-магазин должен получать актуальные остатки; заказы с сайта должны резервировать товар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Интернет-магазин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4.5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5|11"/>
      </w:tblPr>
      <w:tblGrid>
        <w:gridCol w:w="794"/>
        <w:gridCol w:w="5443"/>
        <w:gridCol w:w="1928"/>
        <w:gridCol w:w="1191"/>
      </w:tblGrid>
      <w:tr>
        <w:trPr>
          <w:cantSplit/>
          <w:tblHeader/>
        </w:trPr>
        <w:tc>
          <w:tcPr>
            <w:tcW w:type="dxa" w:w="79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Код</w:t>
            </w:r>
          </w:p>
        </w:tc>
        <w:tc>
          <w:tcPr>
            <w:tcW w:type="dxa" w:w="544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Требование</w:t>
            </w:r>
          </w:p>
        </w:tc>
        <w:tc>
          <w:tcPr>
            <w:tcW w:type="dxa" w:w="19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</w:t>
            </w:r>
          </w:p>
        </w:tc>
        <w:tc>
          <w:tcPr>
            <w:tcW w:type="dxa" w:w="119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Приоритет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П-12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позволять планировать закупки к праздникам по сценариям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закупкам, Директор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П-13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формировать отчёты по продажам, списаниям, оборачиваемости и точности прогноза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Директор, Аналитик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П-14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Аналитик должен иметь возможность пересчитать параметры модели прогноза и сравнить её точность с действующей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Аналитик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Средний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4.6 Системные требования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Системные требования детализируют пользовательские требования и служат основой для проектирования. Функциональные системные требования приведены в таблице 4.6, требования к архитектуре, оборудованию, параметрам, программному интерфейсу, структуре и взаимодействию — в таблице 4.7.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4.6 – Функциональные системные требования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6|0"/>
      </w:tblPr>
      <w:tblGrid>
        <w:gridCol w:w="907"/>
        <w:gridCol w:w="7030"/>
        <w:gridCol w:w="1417"/>
      </w:tblGrid>
      <w:tr>
        <w:trPr>
          <w:cantSplit/>
          <w:tblHeader/>
        </w:trPr>
        <w:tc>
          <w:tcPr>
            <w:tcW w:type="dxa" w:w="90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Код</w:t>
            </w:r>
          </w:p>
        </w:tc>
        <w:tc>
          <w:tcPr>
            <w:tcW w:type="dxa" w:w="703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Системное требование</w:t>
            </w:r>
          </w:p>
        </w:tc>
        <w:tc>
          <w:tcPr>
            <w:tcW w:type="dxa" w:w="141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Связь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Карточка товара содержит: наименование, вид, сорт, длину стебля, цвет, единицу измерения, срок реализации (дней), кратность упаковки, товарную группу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С-2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 приёмке на ТСД сканируется штрихкод упаковки; при расхождении количества с заказом более чем на 2 % формируется акт расхождений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П-2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С-3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Партия создаётся при оприходовании; дата «годен до» рассчитывается как дата поступления плюс срок реализации товара и может быть уменьшена кладовщиком по результатам контроля качества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П-2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С-4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Списание остатков при продаже выполняется по принципу FEFO (партия с наименьшей датой «годен до» продаётся первой)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П-3, П-4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С-5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Загрузка чеков из «1С:Розница» выполняется не реже одного раза в час; повторная загрузка не создаёт дубликатов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П-4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С-6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 рассчитывается ежедневно в 03:00 для каждой пары «товар — место» на 14 дней вперёд с квантилями P50, P80, P95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П-5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С-7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 xml:space="preserve">Рекомендуемое количество заказа: </w:t>
            </w:r>
            <m:oMath>
              <m:r>
                <w:rPr>
                  <w:rFonts w:ascii="Cambria Math" w:hAnsi="Cambria Math" w:cs="Cambria Math"/>
                  <w:sz w:val="24"/>
                  <w:szCs w:val="24"/>
                </w:rPr>
                <m:t>Q=</m:t>
              </m:r>
              <m:r>
                <m:rPr>
                  <m:sty m:val="p"/>
                </m:rPr>
                <w:rPr>
                  <w:rFonts w:ascii="Cambria Math" w:hAnsi="Cambria Math" w:cs="Cambria Math"/>
                  <w:sz w:val="24"/>
                  <w:szCs w:val="24"/>
                </w:rPr>
                <m:t>max</m:t>
              </m:r>
              <m:d>
                <m:dPr>
                  <m:sepChr m:val=""/>
                </m:dPr>
                <m:e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0</m:t>
                  </m:r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,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  <w:sz w:val="24"/>
                      <w:szCs w:val="24"/>
                    </w:rPr>
                    <m:t> </m:t>
                  </m:r>
                  <m:sSub>
                    <m:e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L+T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−</m:t>
                  </m:r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S</m:t>
                  </m:r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−</m:t>
                  </m:r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Z</m:t>
                  </m:r>
                </m:e>
              </m:d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 xml:space="preserve">, где </w:t>
            </w:r>
            <m:oMath>
              <m:sSub>
                <m:e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L+T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 xml:space="preserve"> — квантиль прогноза спроса на период до поставки и до следующей поставки, </w:t>
            </w:r>
            <m:oMath>
              <m:r>
                <w:rPr>
                  <w:rFonts w:ascii="Cambria Math" w:hAnsi="Cambria Math" w:cs="Cambria Math"/>
                  <w:sz w:val="24"/>
                  <w:szCs w:val="24"/>
                </w:rPr>
                <m:t>S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 xml:space="preserve"> — доступный остаток с учётом сроков, </w:t>
            </w:r>
            <m:oMath>
              <m:r>
                <w:rPr>
                  <w:rFonts w:ascii="Cambria Math" w:hAnsi="Cambria Math" w:cs="Cambria Math"/>
                  <w:sz w:val="24"/>
                  <w:szCs w:val="24"/>
                </w:rPr>
                <m:t>Z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 xml:space="preserve"> — заказы в пути; результат округляется вверх до кратности упаковки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П-6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С-8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Целевой квантиль прогноза для товара определяется по его маржинальности и сроку реализации (модель «продавца газет»)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П-6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4.6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6|8"/>
      </w:tblPr>
      <w:tblGrid>
        <w:gridCol w:w="907"/>
        <w:gridCol w:w="7030"/>
        <w:gridCol w:w="1417"/>
      </w:tblGrid>
      <w:tr>
        <w:trPr>
          <w:cantSplit/>
          <w:tblHeader/>
        </w:trPr>
        <w:tc>
          <w:tcPr>
            <w:tcW w:type="dxa" w:w="90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Код</w:t>
            </w:r>
          </w:p>
        </w:tc>
        <w:tc>
          <w:tcPr>
            <w:tcW w:type="dxa" w:w="703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Системное требование</w:t>
            </w:r>
          </w:p>
        </w:tc>
        <w:tc>
          <w:tcPr>
            <w:tcW w:type="dxa" w:w="141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Связь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С-9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Если сумма заказа меньше минимальной суммы поставщика, система предлагает дозаказ позиций группы A с наибольшим прогнозом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П-6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С-10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Изменение рекомендуемого количества более чем на 30 % требует указания причины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П-7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С-11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 отправляется поставщику по e-mail в формате XLSX или через API поставщика (JSON) — способ задаётся в карточке поставщика; при ошибке отправки заказ остаётся утверждённым и отправку можно повторить; статусы заказа: черновик, на согласовании, утверждён, отправлен, подтверждён, в пути, принят, закрыт, отменён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П-7, П-8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С-12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Для партий, у которых до даты «годен до» осталось не более 2 дней, система формирует список рекомендаций по уценке (10–50 %) с учётом прогноза продаж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П-9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С-13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Списание выполняется по партии с выбором причины из справочника; формируется акт списания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П-10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С-14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Остатки и цены выгружаются в интернет-магазин не реже одного раза в 15 минут; оформленный онлайн-заказ резервирует товар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П-11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С-15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Сценарий праздника задаёт дату события, коэффициенты спроса по товарным группам и дату последней поставки; система рассчитывает графики заказов по поставщикам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П-12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С-16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Отчёты формируются за произвольный период с группировкой по товарам, группам и местам; выгрузка в XLSX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П-13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С-17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Точность прогноза оценивается еженедельно по метрикам WAPE и bias; новая версия модели публикуется, только если её WAPE на отложенном периоде не хуже действующей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П-14</w:t>
            </w:r>
          </w:p>
        </w:tc>
      </w:tr>
    </w:tbl>
    <w:p>
      <w:pPr>
        <w:spacing w:line="240" w:lineRule="auto"/>
      </w:pP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4.7 – Общие (нефункциональные) системные требования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7|0"/>
      </w:tblPr>
      <w:tblGrid>
        <w:gridCol w:w="1020"/>
        <w:gridCol w:w="8334"/>
      </w:tblGrid>
      <w:tr>
        <w:trPr>
          <w:cantSplit/>
          <w:tblHeader/>
        </w:trPr>
        <w:tc>
          <w:tcPr>
            <w:tcW w:type="dxa" w:w="10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Код</w:t>
            </w:r>
          </w:p>
        </w:tc>
        <w:tc>
          <w:tcPr>
            <w:tcW w:type="dxa" w:w="833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Требование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архитектуре системы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Трёхуровневая клиент-серверная архитектура: веб-клиент (ПК и ТСД), серверные сервисы (REST API), СУБД; модуль прогнозирования — отдельный сервис, запускаемый планировщиком задач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А-2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Сервер системы размещается в офисе Компании (или у хостинг-провайдера в РФ); салоны подключаются через интернет по защищённому каналу. Дополнительно поставляется версия для одного компьютера под Windows без установки (встроенная СУБД SQLite)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параметрам оборудования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Сервер: 16 ядер, 64 ГБ ОЗУ, 1 ТБ SSD; ТСД — на базе Android 11 и выше со сканером штрихкодов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О-2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Рабочие места: ПК с современным браузером, разрешение экрана не менее 1366×768; канал связи салонов не менее 10 Мбит/с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параметрам системы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Время отклика интерфейса — не более 2 с; формирование плана закупок по всей номенклатуре — не более 5 минут; ночной расчёт прогноза — не более 1 часа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П-2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Одновременная работа до 30 пользователей; обработка до 10 000 чеков в сутки (пиковый день)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4.7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7|9"/>
      </w:tblPr>
      <w:tblGrid>
        <w:gridCol w:w="1020"/>
        <w:gridCol w:w="8334"/>
      </w:tblGrid>
      <w:tr>
        <w:trPr>
          <w:cantSplit/>
          <w:tblHeader/>
        </w:trPr>
        <w:tc>
          <w:tcPr>
            <w:tcW w:type="dxa" w:w="10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Код</w:t>
            </w:r>
          </w:p>
        </w:tc>
        <w:tc>
          <w:tcPr>
            <w:tcW w:type="dxa" w:w="833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Требование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программному интерфейсу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REST API в формате JSON с описанием в спецификации OpenAPI 3; методы для интернет-магазина: GET /api/shop/stock, GET /api/shop/prices, POST /api/shop/orders, GET /api/shop/orders/{номер}; для «1С:Розница»: POST /api/onec/receipts, GET /api/onec/prices; доступ внешних систем — по ключу в заголовке X-API-Key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структуре системы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Масштабируемость: добавление новых торговых точек и товаров без изменения программного кода; расчёт прогноза распараллеливается по товарным группам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Р-2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Распределённость: данные хранятся в центральной БД; салоны работают через веб-интерфейс, при потере связи продажи фиксируются кассами и догружаются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Р-3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Модульность: подсистемы реализуются как отдельные модули с определёнными интерфейсами; алгоритм прогноза заменяется без изменения остальных модулей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Р-4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Открытость: подключение новых каналов продаж (маркетплейсов) и поставщиков через адаптеры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по взаимодействию и интеграции с другими системами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Обмен с «1С:Розница» — через HTTP-сервис (JSON) или папку обмена файлами (JSON, CSV); с интернет-магазином и маркетплейсами — через REST API; с поставщиками — по e-mail (SMTP) или через API поставщика; с погодным сервисом Open-Meteo — через открытый API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надёжности, безопасности и удобству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Ежедневное резервное копирование БД; восстановление — не более 4 часов; доступность в рабочее время — не ниже 99 %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Разграничение доступа по ролям; защита персональных данных покупателей интернет-магазина в соответствии с 152-ФЗ; HTTPS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Интерфейс на русском языке; приёмка поставки на ТСД — не более 3 действий на позицию; обучение пользователя — не более 2 часов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4.7 Аттестация требований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Аттестация требований выполнялась с целью убедиться, что требования действительно определяют систему, которую хочет получить заказчик. Были выбраны следующие типы проверок: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проверка правильности требований — каждое требование сопоставлено с потребностями конкретной точки зрения;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проверка на непротиворечивость — выявление требований, противоречащих друг другу;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проверка на полноту — каждому сервису из диаграммы идентификации точек зрения поставлено в соответствие хотя бы одно требование;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проверка на выполнимость — оценка возможности реализации требований с учётом бюджета, сроков и выбранных технологий;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проверка на проверяемость — для каждого требования определён способ его тестирования (критерий приёмки).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качестве методов аттестации использовались обзор требований (совместный просмотр с представителями заказчика), прототипирование пользовательского интерфейса и генерация тестовых сценариев. Результаты аттестации приведены в таблице 4.8.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4.8 – Результаты аттестации требований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8|0"/>
      </w:tblPr>
      <w:tblGrid>
        <w:gridCol w:w="2041"/>
        <w:gridCol w:w="1928"/>
        <w:gridCol w:w="5386"/>
      </w:tblGrid>
      <w:tr>
        <w:trPr>
          <w:cantSplit/>
          <w:tblHeader/>
        </w:trPr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 проверки</w:t>
            </w:r>
          </w:p>
        </w:tc>
        <w:tc>
          <w:tcPr>
            <w:tcW w:type="dxa" w:w="19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Метод</w:t>
            </w:r>
          </w:p>
        </w:tc>
        <w:tc>
          <w:tcPr>
            <w:tcW w:type="dxa" w:w="538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Выявленные замечания и принятые решения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Правильность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Обзор требований с менеджером по закупкам и заведующим складом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Уточнено требование С-3: срок реализации партии может сокращаться по результатам контроля качества при приёмке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Непротиворечивость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Обзор, матрица трассировки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Требование продавать партии по FEFO противоречило возможности продавца выбирать товар для букета; принято решение фиксировать FEFO как рекомендацию с возможностью выбора партии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Полнота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Сопоставление сервисов точек зрения с требованиями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Для сервиса «Фитосанитарные документы» не было требования — добавлена проверка наличия документов при приёмке импортной продукции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Выполнимость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Прототипирование модели прогноза на исторических данных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 данных за 3 года получен WAPE недельного прогноза 21 % по основным группам — требование ≤ 25 % выполнимо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Проверяемость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Генерация тестовых сценариев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Для формулы расчёта заказа (С-7) подготовлены эталонные примеры; формулировка «быстрое формирование плана» заменена числовым значением (5 минут)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 Техническое задание на создание программного обеспечения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На основании описания системы (практическая работа № 3), информационной модели, пользовательских и системных требований составлено техническое задание. Структура ТЗ соответствует ГОСТ 34.602-89 «Техническое задание на создание автоматизированной системы».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4.8.1 Общие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Полное наименование системы: информационная система планирования процессов закупки и продажи цветочной продукции. Краткое наименование: ИС «ФлораПлан».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Заказчик: оптово-розничная цветочная компания. Разработчик: группа разработки (3 человека).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Плановые сроки начала и окончания работ: 01.09.2026 — 31.12.2026.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Основания для разработки: решение руководства Компании об автоматизации планирования закупок; учебный план дисциплины «Программная инженерия».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Источники финансирования: собственные средства заказчика; объём — не более 1,5 млн руб.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Порядок оформления и предъявления результатов: поэтапная демонстрация результатов, предъявление системы на приёмочные испытания после опытной эксплуатации.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4.8.2 Назначение и цели создания системы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Назначение: планирование процессов закупки и продажи цветочной продукции на основе партионного учёта и статистического прогнозирования спроса.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Цели: снижение доли списаний до 8–10 % закупочной стоимости; сокращение дефицита в пиковые периоды не менее чем в два раза; сокращение трудозатрат на формирование заказов до 2–3 часов в неделю.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4.8.3 Характеристика объекта автоматизации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Объект автоматизации — процессы закупки, хранения и продажи цветочной продукции оптово-розничной компании (склад с холодильной камерой, 4 салона, интернет-магазин; около 750 товарных позиций; около 1 200 чеков в день, до 9 000 в пиковые дни). Продукция скоропортящаяся, спрос имеет выраженную сезонность.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4.8.4 Требования к системе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Требования к системе в целом: состав подсистем — в соответствии с таблицей 3.4 практической работы № 3; требования к архитектуре, параметрам, структуре и интеграции — в соответствии с таблицей 4.7.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Требования к функциям (задачам): в соответствии с таблицей 4.6.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Требования к видам обеспечения: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математическое обеспечение — модели прогнозирования временных рядов (сезонная наивная модель, Хольт–Уинтерс, метод Кростона), оценка квантилей по распределению ошибок прогноза, модель «продавца газет» для расчёта заказа, метрики WAPE и bias;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информационное обеспечение — БД PostgreSQL в соответствии с информационной моделью (рисунок 4.3); хранение истории продаж не менее 5 лет;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лингвистическое обеспечение — интерфейс на русском языке; языки разработки Python, TypeScript, SQL;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программное обеспечение — в соответствии с таблицей 3.11 практической работы № 3;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техническое обеспечение — в соответствии с требованиями О-1, О-2;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организационное обеспечение — регламенты приёмки, хранения, уценки и списания продукции, регламент планирования закупок с использованием системы.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4.8.5 Состав и содержание работ по созданию системы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Работы выполняются по стадиям ГОСТ 34.601-90: формирование требований, техническое задание, технический проект, рабочая документация, ввод в действие. Детальный календарный план приведён в практической работе № 9-10.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4.8.6 Порядок контроля и приёмки системы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Виды испытаний: предварительные испытания, опытная эксплуатация (2 недели в период предновогоднего спроса), приёмочные испытания. Критерии приёмки: выполнение всех требований высокого приоритета, WAPE недельного прогноза по основным группам не более 25 % на отложенном периоде, отсутствие критических дефектов.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4.8.7 Требования к составу и содержанию работ по подготовке объекта автоматизации к вводу системы в действие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Заказчик обеспечивает: выгрузку истории продаж из «1С:Розница» за 3 года, доступ к обмену с «1С» и API интернет-магазина, маркировку мест хранения, закупку ТСД, обучение персонала, утверждение регламентов приёмки, уценки и списания.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4.8.8 Требования к документированию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Разрабатываются: пояснительная записка к техническому проекту, описание информационного обеспечения, описание программного обеспечения, руководство пользователя (для менеджера, кладовщика, продавца), руководство администратора, отчёт о разработке модели прогнозирования, программа и методика испытаний. Документы оформляются в соответствии с ГОСТ 34.201-89 и РД 50-34.698-90.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4.8.9 Источники разработки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Отчёт об обследовании; описание системы и анализ осуществимости (практическая работа № 3); регламенты Компании; условия поставщиков; Федеральные законы № 54-ФЗ, 381-ФЗ; ГОСТ 34.601-90, ГОСТ 34.602-89.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5 Заключение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работы методом VORD идентифицированы двенадцать точек зрения на систему и соответствующие им сервисы, построены диаграмма идентификации и диаграмма иерархии точек зрения, выполнено документирование ключевых точек зрения.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Разработана информационная модель системы, на её основе сформулированы 14 пользовательских и 17 функциональных системных требований, а также требования к архитектуре, оборудованию, параметрам, программному интерфейсу, структуре (масштабируемость, распределённость, модульность, открытость) и интеграции. Проведена аттестация требований, по её результатам требования скорректированы. Составлено техническое задание на создание системы в соответствии с ГОСТ 34.602-89.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