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МЕТОДИКА ФУНКЦИОНАЛЬНОГО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МОДЕЛИРОВАНИЯ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5-6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планирования процессов закупки и продажи цветочной продукции»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Изучить методологии функционального моделирования IDEF0 и IDEF3.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 моделирования — процессы закупки, хранения и продажи цветочной продукции оптово-розничной компании с использованием информационной системы планирования, описанной в практической работе № 3 и требованиях практической работы № 4. Модель строится в нотации «как будет» (TO-BE) и отражает весь функционал системы: каждой функции из описания системы соответствует по крайней мере один функциональный блок.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Модель построена в нотации IDEF0 (контекстная диаграмма A-0 и диаграмма декомпозиции первого уровня A0) и в нотации IDEF3 (декомпозиция функциональных блоков диаграммы A0 до уровня отдельных операций с отображением логики их выполнения с помощью перекрёстков). Таким образом, модель содержит не менее трёх уровней.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5.1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1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Основная часть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Контекстная диаграмма A-0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Контекстная диаграмма A-0 (рисунок 5.1) содержит один функциональный блок, отражающий систему в целом, и определяет её границы: входы (поставки продукции, данные о продажах, заказы покупателей, календарь событий и погода), управление (ассортиментная политика и бюджет, условия поставщиков, торговое законодательство), механизмы (сотрудники и информационная система) и выходы.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Цель моделирования: описать функции планирования закупок и продаж цветочной продукции с использованием информационной системы, потоки данных и материалов между ними и правила их выполнения для проектирования программного обеспечения системы.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Точка зрения: директор Компании.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7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0_A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5.1 – Контекстная диаграмма A-0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стрелок контекстной диаграммы приведено в таблице 5.2.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5.2 – Стрелки контекстной диаграммы A-0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2|0"/>
      </w:tblPr>
      <w:tblGrid>
        <w:gridCol w:w="2608"/>
        <w:gridCol w:w="1474"/>
        <w:gridCol w:w="5272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Стрелка</w:t>
            </w:r>
          </w:p>
        </w:tc>
        <w:tc>
          <w:tcPr>
            <w:tcW w:type="dxa" w:w="147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527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Поставки продукции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 и сопроводительные документы (накладные, фитосанитарные сертификаты) от поставщиков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Данные о продажах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Чеки продаж из онлайн-касс и «1С:Розница»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Заказы покупателей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Заказы и предзаказы интернет-магазина и салонов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Календарь событий и погода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Праздники, акции, прогноз погоды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Ассортиментная политика и бюджет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Ассортиментная матрица, бюджет закупок, правила уценки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Условия поставщиков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Цены, сроки поставки, кратность упаковки, минимальная сумма заказа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Торговое законодательство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54-ФЗ, 381-ФЗ, Правила продажи товаров, Закон о защите прав потребителей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Приёмка, хранение, перемещение, списание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Продавцы-флористы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Продажа товара в салонах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Планирование и размещение заказов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 планирования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Программно-аппаратный комплекс системы, включая модуль прогнозирования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Реализованная продукция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Проданный покупателям товар, выполненные заказы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Заказы поставщикам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Утверждённые и отправленные заказы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Акты списания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Документы о списании продукции, утратившей товарный вид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Аналитические отчёты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 о продажах, списаниях, точности прогноза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Диаграмма декомпозиции A0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декомпозиции первого уровня A0 (рисунок 5.2) содержит пять функциональных блоков. Обратные связи по управлению отражают влияние плана поставок (блок A4) на приёмку товара (блок A1) и влияние уценки (блок A5) на продажи (блок A2).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897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0_A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89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5.2 – Диаграмма декомпозиции первого уровня A0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функциональных блоков диаграммы A0 приведено в таблице 5.3.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5.3 – Функциональные блоки диаграммы A0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3|0"/>
      </w:tblPr>
      <w:tblGrid>
        <w:gridCol w:w="907"/>
        <w:gridCol w:w="2608"/>
        <w:gridCol w:w="5839"/>
      </w:tblGrid>
      <w:tr>
        <w:trPr>
          <w:cantSplit/>
          <w:tblHeader/>
        </w:trPr>
        <w:tc>
          <w:tcPr>
            <w:tcW w:type="dxa" w:w="90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Функциональный блок</w:t>
            </w:r>
          </w:p>
        </w:tc>
        <w:tc>
          <w:tcPr>
            <w:tcW w:type="dxa" w:w="583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A1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Принимать поставки и учитывать запасы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 поставок с контролем количества и качества, оприходование партий со сроками реализации, учёт остатков и перемещений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A2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Продавать продукцию и обрабатывать заказы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Продажа в салонах, загрузка чеков, обработка онлайн-заказов и предзаказов, резервирование товара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A3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Прогнозировать спрос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Подготовка данных, расчёт прогноза спроса и его квантилей статистической моделью, контроль точности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A4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Планировать закупки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рекомендуемых заказов, корректировка, согласование и отправка заказов поставщикам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A5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Управлять сроками реализации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Контроль сроков партий, уценка, списание продукции, утратившей товарный вид</w:t>
            </w:r>
          </w:p>
        </w:tc>
      </w:tr>
    </w:tbl>
    <w:p>
      <w:pPr>
        <w:spacing w:line="240" w:lineRule="auto"/>
      </w:pP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Потоки данных (стрелки) диаграммы A0 приведены в таблице 5.4.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5.4 – Потоки данных диаграммы A0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4|0"/>
      </w:tblPr>
      <w:tblGrid>
        <w:gridCol w:w="3061"/>
        <w:gridCol w:w="2041"/>
        <w:gridCol w:w="4252"/>
      </w:tblGrid>
      <w:tr>
        <w:trPr>
          <w:cantSplit/>
          <w:tblHeader/>
        </w:trPr>
        <w:tc>
          <w:tcPr>
            <w:tcW w:type="dxa" w:w="306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Стрелка</w:t>
            </w:r>
          </w:p>
        </w:tc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25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 → приёмник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Поставки продукции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Принимать поставки и учитывать запасы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Данные о продажах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Продавать продукцию и обрабатывать заказы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Заказы покупателей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Продавать продукцию и обрабатывать заказы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Календарь событий и погода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Прогнозировать спрос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Торговое законодательство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Продавать продукцию и обрабатывать заказы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Условия поставщиков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Планировать закупки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Ассортиментная политика и бюджет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Планировать закупки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Принимать поставки и учитывать запасы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Продавцы-флористы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Продавать продукцию и обрабатывать заказы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 планирования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Прогнозировать спрос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Планировать закупки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Реализованная продукция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Продавать продукцию и обрабатывать заказы → граница диаграммы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Аналитические отчёты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Прогнозировать спрос → граница диаграммы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Заказы поставщикам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Планировать закупки → граница диаграммы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Акты списания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Управлять сроками реализации → граница диаграммы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Остатки по партиям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Принимать поставки и учитывать запасы → Продавать продукцию и обрабатывать заказы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Доступные запасы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Принимать поставки и учитывать запасы → Планировать закупки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Сроки партий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Принимать поставки и учитывать запасы → Управлять сроками реализации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История продаж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Продавать продукцию и обрабатывать заказы → Прогнозировать спрос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спроса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Прогнозировать спрос → Планировать закупки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 поставок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управление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Планировать закупки → Принимать поставки и учитывать запасы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Цены с уценкой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управление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Управлять сроками реализации → Продавать продукцию и обрабатывать заказы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Декомпозиция функциональных блоков в нотации IDEF3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описания логики выполнения процессов функциональные блоки диаграммы A0 декомпозированы в нотации IDEF3. На диаграммах IDEF3 используются единицы работы (UOW), связи предшествования (сплошные стрелки) и перекрёстки: «&amp;» — асинхронное «И» (все ветви выполняются), «X» — исключающее «ИЛИ» (выполняется ровно одна ветвь), «O» — «ИЛИ» (выполняется одна или несколько ветвей). Номер единицы работы указывается в левом нижнем углу блока. Каждая диаграмма модели оформлена в стандартном бланке: в поле «УЗЕЛ» указан номер декомпозируемого блока, в поле «КОНТЕКСТ» схематично показана родительская диаграмма, на которой декомпозируемый блок выделен чёрным. Работы, не имеющие дальнейшей декомпозиции, отмечены диагональной чертой в левом верхнем углу; объекты-ссылки, соединённые с работами пунктирными стрелками, показывают входы и выходы декомпозируемого блока на родительской диаграмме.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Декомпозиция блока A4 «Планировать закупки»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декомпозиции блока A4 (рисунок 5.3) отражает расчёт рекомендуемого заказа. Прогноз спроса и доступный запас определяются параллельно (перекрёсток «&amp;» J1). После расчёта оптимального объёма заказа выполняется проверка бюджета (перекрёсток «X» J3): при превышении бюджета заказ корректируется. Затем объём округляется до кратности упаковки, заказ согласуется и отправляется поставщику.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028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3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02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5.3 – Диаграмма IDEF3 декомпозиции блока A4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элементов диаграммы приведено в таблице 5.5.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5.5 – Элементы диаграммы IDEF3 «Диаграмма IDEF3 декомпозиции блока A4»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5|0"/>
      </w:tblPr>
      <w:tblGrid>
        <w:gridCol w:w="964"/>
        <w:gridCol w:w="2721"/>
        <w:gridCol w:w="5669"/>
      </w:tblGrid>
      <w:tr>
        <w:trPr>
          <w:cantSplit/>
          <w:tblHeader/>
        </w:trPr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J1, J2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Перекрёстки «&amp;»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Параллельное получение прогноза и расчёт запаса, ожидание завершения обеих работ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Получить прогноз спроса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Выбор квантилей прогноза на интервал до поставки и до следующей поставки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 доступный запас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Остатки партий, которые не истекут до поставки, плюс заказы в пути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 оптимальный объём заказа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по модели «продавца газет» (декомпозирован на третьем уровне)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J3, J4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Перекрёстки «X»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Ветвление и слияние по условию соблюдения бюджета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Скорректировать заказ по ABC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Сокращение заказа по товарам групп C и B до соблюдения бюджета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4.5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Округлить до кратности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Округление вверх до кратности упаковки поставщика, проверка минимальной суммы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4.6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Согласовать и отправить заказ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Проверка менеджером, утверждение, отправка поставщику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Декомпозиция блока A1 «Принимать поставки и учитывать запасы»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диаграмме декомпозиции блока A1 (рисунок 5.4) после сверки поставки с заказом параллельно выполняются пересчёт количества и контроль качества (перекрёсток «&amp;» J1). При обнаружении расхождений (перекрёсток «X» J3) оформляется акт расхождений; затем товар оприходуется партиями и размещается в холодильной камере по принципу FEFO.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027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3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02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5.4 – Диаграмма IDEF3 декомпозиции блока A1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элементов диаграммы приведено в таблице 5.6.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5.6 – Элементы диаграммы IDEF3 «Диаграмма IDEF3 декомпозиции блока A1»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6|0"/>
      </w:tblPr>
      <w:tblGrid>
        <w:gridCol w:w="964"/>
        <w:gridCol w:w="2721"/>
        <w:gridCol w:w="5669"/>
      </w:tblGrid>
      <w:tr>
        <w:trPr>
          <w:cantSplit/>
          <w:tblHeader/>
        </w:trPr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Сверить поставку с заказом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Проверка поставщика, номенклатуры, наличия накладной и фитосанитарных документов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J1, J2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Перекрёстки «&amp;»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Параллельный пересчёт и контроль качества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Пересчитать количество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Сканирование упаковок на ТСД, ввод фактического количества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Проверить качество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Оценка свежести, длины стебля, повреждений; при необходимости — сокращение срока реализации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J3, J4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Перекрёстки «X»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Ветвление по наличию расхождений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Оформить акт расхождений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Фиксация недостачи, пересорта, брака для претензии поставщику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1.5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Оприходовать партии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Создание партий с датой поступления, датой «годен до» и себестоимостью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1.6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Разместить в камере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Размещение с учётом FEFO, печать этикеток партий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Декомпозиция операции 4.3 «Рассчитать оптимальный объём заказа» (третий уровень)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Операция 4.3 декомпозирована на третьем уровне модели (рисунок 5.5). Целевой уровень обслуживания определяется по соотношению потерь от дефицита (упущенная маржа) и потерь от списания (себестоимость) — модель «продавца газет». Если в периоде планирования есть праздник (перекрёсток «X» J1), к прогнозу применяется сценарий праздника; затем рассчитываются потребность и объём заказа.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661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3_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66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5.5 – Диаграмма IDEF3 декомпозиции операции 4.3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элементов диаграммы приведено в таблице 5.7.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5.7 – Элементы диаграммы IDEF3 «Диаграмма IDEF3 декомпозиции операции 4.3»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7|0"/>
      </w:tblPr>
      <w:tblGrid>
        <w:gridCol w:w="964"/>
        <w:gridCol w:w="2721"/>
        <w:gridCol w:w="5669"/>
      </w:tblGrid>
      <w:tr>
        <w:trPr>
          <w:cantSplit/>
          <w:tblHeader/>
        </w:trPr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4.3.1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Определить целевой уровень обслуживания</w:t>
            </w:r>
          </w:p>
        </w:tc>
        <w:tc>
          <w:tcPr>
            <w:tcW w:type="dxa" w:w="5669"/>
          </w:tcPr>
          <w:p>
            <w:pPr>
              <w:spacing w:after="0"/>
              <w:ind w:firstLine="0"/>
            </w:pPr>
            <w:r/>
            <m:oMathPara>
              <m:oMath>
                <m:r>
                  <w:rPr>
                    <w:rFonts w:ascii="Cambria Math" w:hAnsi="Cambria Math" w:cs="Cambria Math"/>
                    <w:sz w:val="24"/>
                    <w:szCs w:val="24"/>
                  </w:rPr>
                  <m:t>α=</m:t>
                </m:r>
                <m:f>
                  <m:fPr>
                    <m:type m:val="bar"/>
                  </m:fPr>
                  <m:num>
                    <m:argPr>
                      <m:scrLvl m:val="0"/>
                    </m:argPr>
                    <m:sSub>
                      <m:e>
                        <m:argPr>
                          <m:scrLvl m:val="0"/>
                        </m:argPr>
                        <m:r>
                          <w:rPr>
                            <w:rFonts w:ascii="Cambria Math" w:hAnsi="Cambria Math" w:cs="Cambria Math"/>
                            <w:sz w:val="24"/>
                            <w:szCs w:val="24"/>
                          </w:rPr>
                          <m:t>C</m:t>
                        </m:r>
                      </m:e>
                      <m:sub>
                        <m:argPr>
                          <m:scrLvl m:val="0"/>
                        </m:argPr>
                        <m:r>
                          <w:rPr>
                            <w:rFonts w:ascii="Cambria Math" w:hAnsi="Cambria Math" w:cs="Cambria Math"/>
                            <w:sz w:val="24"/>
                            <w:szCs w:val="24"/>
                          </w:rPr>
                          <m:t>u</m:t>
                        </m:r>
                      </m:sub>
                    </m:sSub>
                  </m:num>
                  <m:den>
                    <m:argPr>
                      <m:scrLvl m:val="0"/>
                    </m:argPr>
                    <m:sSub>
                      <m:e>
                        <m:argPr>
                          <m:scrLvl m:val="0"/>
                        </m:argPr>
                        <m:r>
                          <w:rPr>
                            <w:rFonts w:ascii="Cambria Math" w:hAnsi="Cambria Math" w:cs="Cambria Math"/>
                            <w:sz w:val="24"/>
                            <w:szCs w:val="24"/>
                          </w:rPr>
                          <m:t>C</m:t>
                        </m:r>
                      </m:e>
                      <m:sub>
                        <m:argPr>
                          <m:scrLvl m:val="0"/>
                        </m:argPr>
                        <m:r>
                          <w:rPr>
                            <w:rFonts w:ascii="Cambria Math" w:hAnsi="Cambria Math" w:cs="Cambria Math"/>
                            <w:sz w:val="24"/>
                            <w:szCs w:val="24"/>
                          </w:rPr>
                          <m:t>u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</w:rPr>
                      <m:t>+</m:t>
                    </m:r>
                    <m:sSub>
                      <m:e>
                        <m:argPr>
                          <m:scrLvl m:val="0"/>
                        </m:argPr>
                        <m:r>
                          <w:rPr>
                            <w:rFonts w:ascii="Cambria Math" w:hAnsi="Cambria Math" w:cs="Cambria Math"/>
                            <w:sz w:val="24"/>
                            <w:szCs w:val="24"/>
                          </w:rPr>
                          <m:t>C</m:t>
                        </m:r>
                      </m:e>
                      <m:sub>
                        <m:argPr>
                          <m:scrLvl m:val="0"/>
                        </m:argPr>
                        <m:r>
                          <w:rPr>
                            <w:rFonts w:ascii="Cambria Math" w:hAnsi="Cambria Math" w:cs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</m:den>
                </m:f>
              </m:oMath>
            </m:oMathPara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 xml:space="preserve">где </w:t>
            </w:r>
            <m:oMath>
              <m:sSub>
                <m:e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u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 xml:space="preserve"> — упущенная маржа единицы товара, </w:t>
            </w:r>
            <m:oMath>
              <m:sSub>
                <m:e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o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 xml:space="preserve"> — потери при списании единицы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J1, J2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Перекрёстки «X»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Ветвление по наличию праздника в периоде планирования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4.3.2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Применить сценарий праздника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Умножение прогноза на коэффициенты сценария, утверждённые менеджером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4.3.3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 потребность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 xml:space="preserve">Квантиль распределения спроса уровня </w:t>
            </w:r>
            <m:oMath>
              <m:r>
                <w:rPr>
                  <w:rFonts w:ascii="Cambria Math" w:hAnsi="Cambria Math" w:cs="Cambria Math"/>
                  <w:sz w:val="24"/>
                  <w:szCs w:val="24"/>
                </w:rPr>
                <m:t>α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 xml:space="preserve"> на период до следующей поставки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4.3.4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Вычесть запас и заказы в пути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m:oMath>
              <m:r>
                <w:rPr>
                  <w:rFonts w:ascii="Cambria Math" w:hAnsi="Cambria Math" w:cs="Cambria Math"/>
                  <w:sz w:val="24"/>
                  <w:szCs w:val="24"/>
                </w:rPr>
                <m:t>Q=</m:t>
              </m:r>
              <m:r>
                <m:rPr>
                  <m:sty m:val="p"/>
                </m:rPr>
                <w:rPr>
                  <w:rFonts w:ascii="Cambria Math" w:hAnsi="Cambria Math" w:cs="Cambria Math"/>
                  <w:sz w:val="24"/>
                  <w:szCs w:val="24"/>
                </w:rPr>
                <m:t>max</m:t>
              </m:r>
              <m:r>
                <w:rPr>
                  <w:rFonts w:ascii="Cambria Math" w:hAnsi="Cambria Math" w:cs="Cambria Math"/>
                  <w:sz w:val="24"/>
                  <w:szCs w:val="24"/>
                </w:rPr>
                <m:t>(0,</m:t>
              </m:r>
              <m:r>
                <m:rPr>
                  <m:sty m:val="p"/>
                </m:rPr>
                <w:rPr>
                  <w:rFonts w:ascii="Cambria Math" w:hAnsi="Cambria Math" w:cs="Cambria Math"/>
                  <w:sz w:val="24"/>
                  <w:szCs w:val="24"/>
                </w:rPr>
                <m:t> </m:t>
              </m:r>
              <m:sSub>
                <m:e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α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</w:rPr>
                <m:t>−S−Z)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 xml:space="preserve">, где </w:t>
            </w:r>
            <m:oMath>
              <m:sSub>
                <m:e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 w:cs="Cambria Math"/>
                      <w:sz w:val="24"/>
                      <w:szCs w:val="24"/>
                    </w:rPr>
                    <m:t>α</m:t>
                  </m:r>
                </m:sub>
              </m:sSub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 xml:space="preserve"> — потребность, </w:t>
            </w:r>
            <m:oMath>
              <m:r>
                <w:rPr>
                  <w:rFonts w:ascii="Cambria Math" w:hAnsi="Cambria Math" w:cs="Cambria Math"/>
                  <w:sz w:val="24"/>
                  <w:szCs w:val="24"/>
                </w:rPr>
                <m:t>S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 xml:space="preserve"> — доступный запас, </w:t>
            </w:r>
            <m:oMath>
              <m:r>
                <w:rPr>
                  <w:rFonts w:ascii="Cambria Math" w:hAnsi="Cambria Math" w:cs="Cambria Math"/>
                  <w:sz w:val="24"/>
                  <w:szCs w:val="24"/>
                </w:rPr>
                <m:t>Z</m:t>
              </m:r>
            </m:oMath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 xml:space="preserve"> — заказы в пути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Хранилища данных и внешние объекты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Хранилища данных, используемые в модели, и внешние по отношению к системе объекты приведены в таблице 5.8.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5.8 – Хранилища данных и внешние объекты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8|0"/>
      </w:tblPr>
      <w:tblGrid>
        <w:gridCol w:w="2608"/>
        <w:gridCol w:w="1701"/>
        <w:gridCol w:w="5046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</w:t>
            </w:r>
          </w:p>
        </w:tc>
        <w:tc>
          <w:tcPr>
            <w:tcW w:type="dxa" w:w="504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БД учёта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данных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Номенклатура, партии, остатки, продажи, заказы, списания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5.8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8|1"/>
      </w:tblPr>
      <w:tblGrid>
        <w:gridCol w:w="2608"/>
        <w:gridCol w:w="1701"/>
        <w:gridCol w:w="5046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</w:t>
            </w:r>
          </w:p>
        </w:tc>
        <w:tc>
          <w:tcPr>
            <w:tcW w:type="dxa" w:w="504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прогнозов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данных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Прогнозы спроса и их точность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Справочник условий поставщиков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данных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Цены, сроки, кратность, минимальные суммы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Календарь событий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данных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Праздники, акции, сценарии праздников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Поставщики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Внешний объект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 продукции, получатель заказов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Кассы и «1С:Розница»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Внешний объект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 данных о продажах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Интернет-магазин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Внешний объект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 заказов, получатель остатков и цен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Покупатели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Внешний объект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Получатели продукции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изучены методологии функционального моделирования IDEF0 и IDEF3 и построена функциональная модель информационной системы планирования процессов закупки и продажи цветочной продукции. Модель включает три уровня: контекстную диаграмму A-0, диаграмму декомпозиции A0 с пятью функциональными блоками, диаграммы IDEF3 второго уровня для блоков A4 и A1 (по 6 единиц работы) и диаграмму третьего уровня для операции 4.3 (4 единицы работы).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Модель отражает весь описанный функционал системы, потоки данных и материалов и правила их движения, включая параллельное выполнение работ и ветвление процессов по условиям (превышение бюджета, расхождения при приёмке, наличие праздника в периоде планирования).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Стерлигова А. Н. Управление запасами в цепях поставок. — М.: ИНФРА-М, 2009. — 430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Hyndman R. J., Athanasopoulos G. Forecasting: Principles and Practice. — 3rd ed. — Melbourne: OTexts, 2021. — URL: https://otexts.com/fpp3/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28.12.2009 № 381-ФЗ «Об основах государственного регулирования торговой деятельности в Российской Федерации».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22.05.2003 № 54-ФЗ «О применении контрольно-кассовой техники при осуществлении расчётов в Российской Федерации».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Методические указания по выполнению практических работ по дисциплине «Программная инженерия». Части 1, 2. — Тула: ТулГУ.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Р 50.1.028-2001. Информационные технологии поддержки жизненного цикла продукции. Методология функционального моделирования. — М.: Госстандарт России, 2001.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Маклаков С. В. Моделирование бизнес-процессов с AllFusion Process Modeler (BPwin 4.1). — М.: Диалог-МИФИ, 2004. — 240 с.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