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Министерство науки и высшего образования РФ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«Тульский государственный университет»</w:t>
      </w:r>
    </w:p>
    <w:p>
      <w:pPr>
        <w:spacing w:line="276" w:lineRule="auto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Институт прикладной математики и компьютерных наук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МЕТОДИКА ФУНКЦИОНАЛЬНОГО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МОДЕЛИРОВАНИЯ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Отчет по выполнению практической работы № 5-6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курсу «</w:t>
      </w:r>
      <w:r>
        <w:rPr>
          <w:rFonts w:ascii="Times New Roman" w:hAnsi="Times New Roman" w:cs="Times New Roman" w:eastAsia="Times New Roman"/>
          <w:b/>
          <w:i w:val="0"/>
          <w:sz w:val="28"/>
        </w:rPr>
        <w:t>Программная инженерия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»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Тема: «Разработка информационной системы планирования процессов закупки и продажи цветочной продукции»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tabs>
          <w:tab w:pos="9354" w:val="right"/>
        </w:tabs>
        <w:spacing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Выполнил ст. гр. </w:t>
      </w:r>
      <w:r>
        <w:rPr>
          <w:rFonts w:ascii="Times New Roman" w:hAnsi="Times New Roman" w:cs="Times New Roman" w:eastAsia="Times New Roman"/>
          <w:b w:val="0"/>
          <w:i/>
          <w:sz w:val="28"/>
        </w:rPr>
        <w:t>_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_</w:t>
        <w:tab/>
        <w:t>Фамилия И. О.</w:t>
      </w:r>
    </w:p>
    <w:p>
      <w:pPr>
        <w:spacing w:line="276" w:lineRule="auto" w:after="0"/>
        <w:ind w:firstLine="0"/>
        <w:jc w:val="center"/>
      </w:pPr>
    </w:p>
    <w:p>
      <w:pPr>
        <w:tabs>
          <w:tab w:pos="9354" w:val="right"/>
        </w:tabs>
        <w:spacing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Проверил преп.</w:t>
        <w:tab/>
        <w:t>Лисняк М. В.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keepNext w:val="0"/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Тула 2026</w:t>
      </w:r>
      <w:r>
        <w:br w:type="page"/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1 Цель работы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Изучить методологии функционального моделирования IDEF0 и IDEF3.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2 Введение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Объект моделирования — процессы закупки, хранения и продажи срезанных цветов в небольшом цветочном салоне с использованием базовой редакции системы «ИС планирования закупок и продаж цветов», описанной в практической работе № 3 и требованиях практической работы № 4. Модель строится в нотации «как будет» (TO-BE) и отражает весь функционал базовой редакции: каждой функции соответствует по крайней мере один функциональный блок.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Модель построена в нотации IDEF0 (контекстная диаграмма A-0 и диаграмма декомпозиции первого уровня A0) и в нотации IDEF3 (декомпозиция функциональных блоков диаграммы A0 до уровня отдельных операций с отображением логики их выполнения с помощью перекрёстков). Таким образом, модель содержит не менее трёх уровней.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3 Программно-аппаратные средства, используемые при выполнении работы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5.1 – Программно-аппаратные средства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5.1|0"/>
      </w:tblPr>
      <w:tblGrid>
        <w:gridCol w:w="2835"/>
        <w:gridCol w:w="6520"/>
      </w:tblGrid>
      <w:tr>
        <w:trPr>
          <w:cantSplit/>
          <w:tblHeader/>
        </w:trPr>
        <w:tc>
          <w:tcPr>
            <w:tcW w:type="dxa" w:w="2835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Средство</w:t>
            </w:r>
          </w:p>
        </w:tc>
        <w:tc>
          <w:tcPr>
            <w:tcW w:type="dxa" w:w="6520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Характеристика и назначение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Персональный компьютер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Процессор x86-64 (4 ядра, 3,0 ГГц), ОЗУ 16 ГБ, SSD 512 ГБ, монитор 24″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Операционная система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Microsoft Windows 11 Pro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Текстовый редактор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Microsoft Word 2021 — оформление отчёта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Средства моделирования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PlantUML, Python 3.12 (matplotlib) — построение схем и диаграмм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Справочно-правовые системы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«Гарант», «КонсультантПлюс» — нормативная база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контроля версий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Git, GitHub — хранение материалов проекта</w:t>
            </w:r>
          </w:p>
        </w:tc>
      </w:tr>
    </w:tbl>
    <w:p>
      <w:pPr>
        <w:spacing w:line="240" w:lineRule="auto"/>
      </w:pP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4 Основная часть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4.1 Контекстная диаграмма A-0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Контекстная диаграмма A-0 (рисунок 5.1) содержит один функциональный блок, отражающий систему в целом, и определяет её границы: входы (поставки продукции и покупки), управляющие воздействия (условия поставщиков, правила закупки салона, торговое законодательство), механизмы (флорист-кассир, владелец салона и программа) и выходы (проданная продукция, заказы поставщикам, списания, отчёт). Обмена с внешними системами нет: касса работает независимо, заказ владелец передаёт поставщику сам.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Цель моделирования: описать функции учёта поставок, продаж и списаний, прогноза спроса и расчёта заказа поставщику в цветочном салоне, потоки данных и материалов между ними и правила их выполнения для проектирования программы.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Точка зрения: владелец Салона.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742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_A-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4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5.1 – Контекстная диаграмма A-0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Описание стрелок контекстной диаграммы приведено в таблице 5.2.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5.2 – Стрелки контекстной диаграммы A-0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5.2|0"/>
      </w:tblPr>
      <w:tblGrid>
        <w:gridCol w:w="2608"/>
        <w:gridCol w:w="1474"/>
        <w:gridCol w:w="5272"/>
      </w:tblGrid>
      <w:tr>
        <w:trPr>
          <w:cantSplit/>
          <w:tblHeader/>
        </w:trPr>
        <w:tc>
          <w:tcPr>
            <w:tcW w:type="dxa" w:w="260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Стрелка</w:t>
            </w:r>
          </w:p>
        </w:tc>
        <w:tc>
          <w:tcPr>
            <w:tcW w:type="dxa" w:w="1474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5272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Поставки продукции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Вход</w:t>
            </w:r>
          </w:p>
        </w:tc>
        <w:tc>
          <w:tcPr>
            <w:tcW w:type="dxa" w:w="527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Товар и накладные от поставщиков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Покупки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Вход</w:t>
            </w:r>
          </w:p>
        </w:tc>
        <w:tc>
          <w:tcPr>
            <w:tcW w:type="dxa" w:w="527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Товар и количество, которые выбрал покупатель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Условия поставщиков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Управление</w:t>
            </w:r>
          </w:p>
        </w:tc>
        <w:tc>
          <w:tcPr>
            <w:tcW w:type="dxa" w:w="527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Цены закупки, сроки поставки, кратность упаковки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Правила закупки салона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Управление</w:t>
            </w:r>
          </w:p>
        </w:tc>
        <w:tc>
          <w:tcPr>
            <w:tcW w:type="dxa" w:w="527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Сроки реализации товаров, интервал между заказами 3 дня, страховой запас 20 %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Торговое законодательство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Управление</w:t>
            </w:r>
          </w:p>
        </w:tc>
        <w:tc>
          <w:tcPr>
            <w:tcW w:type="dxa" w:w="527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381-ФЗ, Закон «О защите прав потребителей», Правила продажи товаров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Флорист-кассир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Механизм</w:t>
            </w:r>
          </w:p>
        </w:tc>
        <w:tc>
          <w:tcPr>
            <w:tcW w:type="dxa" w:w="527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Принимает поставки, продаёт, списывает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Владелец салона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Механизм</w:t>
            </w:r>
          </w:p>
        </w:tc>
        <w:tc>
          <w:tcPr>
            <w:tcW w:type="dxa" w:w="527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Ведёт справочники, заказывает товар, анализирует результаты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Программа «ФлораПлан Базовая»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Механизм</w:t>
            </w:r>
          </w:p>
        </w:tc>
        <w:tc>
          <w:tcPr>
            <w:tcW w:type="dxa" w:w="527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Программа на компьютере Салона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Проданная продукция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Выход</w:t>
            </w:r>
          </w:p>
        </w:tc>
        <w:tc>
          <w:tcPr>
            <w:tcW w:type="dxa" w:w="527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Товар, переданный покупателям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Заказы поставщикам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Выход</w:t>
            </w:r>
          </w:p>
        </w:tc>
        <w:tc>
          <w:tcPr>
            <w:tcW w:type="dxa" w:w="527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Рассчитанные заказы, которые владелец передаёт по телефону или почте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Списания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Выход</w:t>
            </w:r>
          </w:p>
        </w:tc>
        <w:tc>
          <w:tcPr>
            <w:tcW w:type="dxa" w:w="527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Записи о списании партий с причиной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Отчёт за 30 дней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Выход</w:t>
            </w:r>
          </w:p>
        </w:tc>
        <w:tc>
          <w:tcPr>
            <w:tcW w:type="dxa" w:w="527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Выручка по товарам и потери от списаний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4.2 Диаграмма декомпозиции A0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декомпозиции первого уровня A0 (рисунок 5.2) содержит пять функциональных блоков. Обратные связи по управлению отражают влияние рассчитанного заказа (блок A4) на приёмку следующей поставки (блок A1) и влияние состояния партий (блок A3) на продажу (блок A2): просроченный товар не продаётся.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9897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_A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89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5.2 – Диаграмма декомпозиции первого уровня A0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Описание функциональных блоков диаграммы A0 приведено в таблице 5.3.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5.3 – Функциональные блоки диаграммы A0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5.3|0"/>
      </w:tblPr>
      <w:tblGrid>
        <w:gridCol w:w="907"/>
        <w:gridCol w:w="2608"/>
        <w:gridCol w:w="5839"/>
      </w:tblGrid>
      <w:tr>
        <w:trPr>
          <w:cantSplit/>
          <w:tblHeader/>
        </w:trPr>
        <w:tc>
          <w:tcPr>
            <w:tcW w:type="dxa" w:w="907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Номер</w:t>
            </w:r>
          </w:p>
        </w:tc>
        <w:tc>
          <w:tcPr>
            <w:tcW w:type="dxa" w:w="260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Функциональный блок</w:t>
            </w:r>
          </w:p>
        </w:tc>
        <w:tc>
          <w:tcPr>
            <w:tcW w:type="dxa" w:w="5839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A1</w:t>
            </w:r>
          </w:p>
        </w:tc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Принимать поставки</w:t>
            </w:r>
          </w:p>
        </w:tc>
        <w:tc>
          <w:tcPr>
            <w:tcW w:type="dxa" w:w="583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Выбор товара и количества, создание партии; срок годности = дата приёмки + срок реализации товара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A2</w:t>
            </w:r>
          </w:p>
        </w:tc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Продавать продукцию по FEFO</w:t>
            </w:r>
          </w:p>
        </w:tc>
        <w:tc>
          <w:tcPr>
            <w:tcW w:type="dxa" w:w="583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Проверка остатка годных партий, списание товара из партий по возрастанию срока годности, запись продаж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A3</w:t>
            </w:r>
          </w:p>
        </w:tc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Контролировать сроки и списывать</w:t>
            </w:r>
          </w:p>
        </w:tc>
        <w:tc>
          <w:tcPr>
            <w:tcW w:type="dxa" w:w="583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Состояние партий («свежая», «истекает», «просрочена»), списание остатка партии с причиной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A4</w:t>
            </w:r>
          </w:p>
        </w:tc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Рассчитывать заказ поставщику</w:t>
            </w:r>
          </w:p>
        </w:tc>
        <w:tc>
          <w:tcPr>
            <w:tcW w:type="dxa" w:w="583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Средние продажи за 14 дней, потребность на период покрытия со страховым запасом, округление до упаковки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A5</w:t>
            </w:r>
          </w:p>
        </w:tc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Анализировать продажи и потери</w:t>
            </w:r>
          </w:p>
        </w:tc>
        <w:tc>
          <w:tcPr>
            <w:tcW w:type="dxa" w:w="583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Выручка по товарам и потери от списаний за 30 дней</w:t>
            </w:r>
          </w:p>
        </w:tc>
      </w:tr>
    </w:tbl>
    <w:p>
      <w:pPr>
        <w:spacing w:line="240" w:lineRule="auto"/>
      </w:pP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Потоки данных (стрелки) диаграммы A0 приведены в таблице 5.4.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5.4 – Потоки данных диаграммы A0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5.4|0"/>
      </w:tblPr>
      <w:tblGrid>
        <w:gridCol w:w="3061"/>
        <w:gridCol w:w="2041"/>
        <w:gridCol w:w="4252"/>
      </w:tblGrid>
      <w:tr>
        <w:trPr>
          <w:cantSplit/>
          <w:tblHeader/>
        </w:trPr>
        <w:tc>
          <w:tcPr>
            <w:tcW w:type="dxa" w:w="306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Стрелка</w:t>
            </w:r>
          </w:p>
        </w:tc>
        <w:tc>
          <w:tcPr>
            <w:tcW w:type="dxa" w:w="204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4252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Источник → приёмник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Поставки продукции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Вход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Граница диаграммы → Принимать поставки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Покупки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Вход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Граница диаграммы → Продавать продукцию по FEFO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Торговое законодательство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Управление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Граница диаграммы → Продавать продукцию по FEFO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Условия поставщиков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Управление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Граница диаграммы → Рассчитывать заказ поставщику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Правила закупки салона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Управление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Граница диаграммы → Рассчитывать заказ поставщику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Флорист-кассир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Механизм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Граница диаграммы → Продавать продукцию по FEFO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Программа «ФлораПлан Базовая»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Механизм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Граница диаграммы → Контролировать сроки и списывать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Владелец салона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Механизм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Граница диаграммы → Рассчитывать заказ поставщику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Проданная продукция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Выход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Продавать продукцию по FEFO → граница диаграммы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Списания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Выход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Контролировать сроки и списывать → граница диаграммы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Заказы поставщикам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Выход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Рассчитывать заказ поставщику → граница диаграммы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Отчёт за 30 дней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Выход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Анализировать продажи и потери → граница диаграммы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Партии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Выход → вход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Принимать поставки → Продавать продукцию по FEFO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Сроки партий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Выход → вход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Принимать поставки → Контролировать сроки и списывать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Остатки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Выход → вход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Принимать поставки → Рассчитывать заказ поставщику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История продаж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Выход → вход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Продавать продукцию по FEFO → Рассчитывать заказ поставщику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Продажи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Выход → вход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Продавать продукцию по FEFO → Анализировать продажи и потери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Записи о списании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Выход → вход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Контролировать сроки и списывать → Анализировать продажи и потери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Заказ поставщику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Выход → управление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Рассчитывать заказ поставщику → Принимать поставки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Состояние партий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Выход → управление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Контролировать сроки и списывать → Продавать продукцию по FEFO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4.3 Декомпозиция функциональных блоков в нотации IDEF3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Для описания логики выполнения процессов функциональные блоки диаграммы A0 декомпозированы в нотации IDEF3. На диаграммах IDEF3 используются единицы работы (UOW), связи предшествования (сплошные стрелки) и перекрёстки: «&amp;» — асинхронное «И» (все ветви выполняются), «X» — исключающее «ИЛИ» (выполняется ровно одна ветвь), «O» — «ИЛИ» (выполняется одна или несколько ветвей). Номер единицы работы указывается в левом нижнем углу блока. Каждая диаграмма модели оформлена в стандартном бланке: в поле «УЗЕЛ» указан номер декомпозируемого блока, в поле «КОНТЕКСТ» схематично показана родительская диаграмма, на которой декомпозируемый блок выделен чёрным. Работы, не имеющие дальнейшей декомпозиции, отмечены диагональной чертой в левом верхнем углу; объекты-ссылки, соединённые с работами пунктирными стрелками, показывают входы и выходы декомпозируемого блока на родительской диаграмме.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4.4 Декомпозиция блока A4 «Рассчитывать заказ поставщику»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декомпозиции блока A4 (рисунок 5.3) отражает расчёт рекомендуемого заказа по одному товару поставщика; расчёт повторяется для каждого его товара. Сначала определяется период покрытия — срок поставки плюс интервал до следующего заказа. Средние продажи и остаток годных партий рассчитываются независимо друг от друга (перекрёсток «&amp;» J1). Если остаток покрывает потребность (перекрёсток «X» J3), заказ не нужен; иначе разность округляется вверх до упаковки.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3681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3_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68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5.3 – Диаграмма IDEF3 декомпозиции блока A4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Описание элементов диаграммы приведено в таблице 5.5.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5.5 – Элементы диаграммы IDEF3 «Диаграмма IDEF3 декомпозиции блока A4»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5.5|0"/>
      </w:tblPr>
      <w:tblGrid>
        <w:gridCol w:w="964"/>
        <w:gridCol w:w="2721"/>
        <w:gridCol w:w="5669"/>
      </w:tblGrid>
      <w:tr>
        <w:trPr>
          <w:cantSplit/>
          <w:tblHeader/>
        </w:trPr>
        <w:tc>
          <w:tcPr>
            <w:tcW w:type="dxa" w:w="964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Номер</w:t>
            </w:r>
          </w:p>
        </w:tc>
        <w:tc>
          <w:tcPr>
            <w:tcW w:type="dxa" w:w="272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Элемент</w:t>
            </w:r>
          </w:p>
        </w:tc>
        <w:tc>
          <w:tcPr>
            <w:tcW w:type="dxa" w:w="5669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4.1</w:t>
            </w:r>
          </w:p>
        </w:tc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Определить период покрытия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m:oMath>
              <m:r>
                <w:rPr>
                  <w:rFonts w:ascii="Cambria Math" w:hAnsi="Cambria Math" w:cs="Cambria Math"/>
                  <w:sz w:val="24"/>
                  <w:szCs w:val="24"/>
                </w:rPr>
                <m:t>L=</m:t>
              </m:r>
              <m:r>
                <m:rPr>
                  <m:nor/>
                </m:rPr>
                <w:rPr>
                  <w:rFonts w:ascii="Cambria Math" w:hAnsi="Cambria Math" w:cs="Cambria Math"/>
                  <w:sz w:val="24"/>
                  <w:szCs w:val="24"/>
                </w:rPr>
                <m:t>срок поставки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+3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дня: товара должно хватить до поставки и до следующего заказа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J1, J2</w:t>
            </w:r>
          </w:p>
        </w:tc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Перекрёстки «&amp;»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Независимый расчёт средних продаж и остатка, ожидание завершения обеих работ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4.2</w:t>
            </w:r>
          </w:p>
        </w:tc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Рассчитать средние продажи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Скользящее среднее за 14 дней (декомпозировано на третьем уровне)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4.3</w:t>
            </w:r>
          </w:p>
        </w:tc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Рассчитать остаток годных партий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Сумма остатков партий товара, срок годности которых не истёк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4.4</w:t>
            </w:r>
          </w:p>
        </w:tc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Рассчитать потребность и нехватку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Потребность </w:t>
            </w:r>
            <m:oMath>
              <m:r>
                <w:rPr>
                  <w:rFonts w:ascii="Cambria Math" w:hAnsi="Cambria Math" w:cs="Cambria Math"/>
                  <w:sz w:val="24"/>
                  <w:szCs w:val="24"/>
                </w:rPr>
                <m:t>D=</m:t>
              </m:r>
              <m:bar>
                <m:barPr>
                  <m:pos m:val="top"/>
                </m:bar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y</m:t>
                  </m:r>
                </m:e>
              </m:bar>
              <m:r>
                <w:rPr>
                  <w:rFonts w:ascii="Cambria Math" w:hAnsi="Cambria Math" w:cs="Cambria Math"/>
                  <w:sz w:val="24"/>
                  <w:szCs w:val="24"/>
                </w:rPr>
                <m:t>·L·1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,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(страховой запас 20 %), нехватка </w:t>
            </w:r>
            <m:oMath>
              <m:r>
                <w:rPr>
                  <w:rFonts w:ascii="Cambria Math" w:hAnsi="Cambria Math" w:cs="Cambria Math"/>
                  <w:sz w:val="24"/>
                  <w:szCs w:val="24"/>
                </w:rPr>
                <m:t>D−S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где </w:t>
            </w:r>
            <m:oMath>
              <m:bar>
                <m:barPr>
                  <m:pos m:val="top"/>
                </m:bar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y</m:t>
                  </m:r>
                </m:e>
              </m:ba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— средние продажи в день, </w:t>
            </w:r>
            <m:oMath>
              <m:r>
                <w:rPr>
                  <w:rFonts w:ascii="Cambria Math" w:hAnsi="Cambria Math" w:cs="Cambria Math"/>
                  <w:sz w:val="24"/>
                  <w:szCs w:val="24"/>
                </w:rPr>
                <m:t>S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— остаток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J3, J4</w:t>
            </w:r>
          </w:p>
        </w:tc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Перекрёстки «X»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Ветвление и слияние по условию </w:t>
            </w:r>
            <m:oMath>
              <m:r>
                <w:rPr>
                  <w:rFonts w:ascii="Cambria Math" w:hAnsi="Cambria Math" w:cs="Cambria Math"/>
                  <w:sz w:val="24"/>
                  <w:szCs w:val="24"/>
                </w:rPr>
                <m:t>D−S≤0</m:t>
              </m:r>
            </m:oMath>
          </w:p>
        </w:tc>
      </w:tr>
      <w:tr>
        <w:trPr>
          <w:cantSplit/>
        </w:trPr>
        <w:tc>
          <w:tcPr>
            <w:tcW w:type="dxa" w:w="96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4.5</w:t>
            </w:r>
          </w:p>
        </w:tc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Рекомендовать нулевой заказ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Остатка достаточно, заказ равен нулю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4.6</w:t>
            </w:r>
          </w:p>
        </w:tc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Округлить до упаковки</w:t>
            </w:r>
          </w:p>
        </w:tc>
        <w:tc>
          <w:tcPr>
            <w:tcW w:type="dxa" w:w="5669"/>
          </w:tcPr>
          <w:p>
            <w:pPr>
              <w:spacing w:after="0"/>
              <w:ind w:firstLine="0"/>
            </w:pPr>
            <w:r/>
            <m:oMathPara>
              <m:oMath>
                <m:r>
                  <w:rPr>
                    <w:rFonts w:ascii="Cambria Math" w:hAnsi="Cambria Math" w:cs="Cambria Math"/>
                    <w:sz w:val="24"/>
                    <w:szCs w:val="24"/>
                  </w:rPr>
                  <m:t>Q=</m:t>
                </m:r>
                <m:d>
                  <m:dPr>
                    <m:begChr m:val="⌈"/>
                    <m:sepChr m:val=""/>
                    <m:endChr m:val="⌉"/>
                  </m:dPr>
                  <m:e>
                    <m:f>
                      <m:fPr>
                        <m:type m:val="bar"/>
                      </m:fPr>
                      <m:num>
                        <m:argPr>
                          <m:scrLvl m:val="0"/>
                        </m:argPr>
                        <m:r>
                          <w:rPr>
                            <w:rFonts w:ascii="Cambria Math" w:hAnsi="Cambria Math" w:cs="Cambria Math"/>
                            <w:sz w:val="24"/>
                            <w:szCs w:val="24"/>
                          </w:rPr>
                          <m:t>D−S</m:t>
                        </m:r>
                      </m:num>
                      <m:den>
                        <m:argPr>
                          <m:scrLvl m:val="0"/>
                        </m:argPr>
                        <m:r>
                          <w:rPr>
                            <w:rFonts w:ascii="Cambria Math" w:hAnsi="Cambria Math" w:cs="Cambria Math"/>
                            <w:sz w:val="24"/>
                            <w:szCs w:val="24"/>
                          </w:rPr>
                          <m:t>m</m:t>
                        </m:r>
                      </m:den>
                    </m:f>
                  </m:e>
                </m:d>
                <m:r>
                  <w:rPr>
                    <w:rFonts w:ascii="Cambria Math" w:hAnsi="Cambria Math" w:cs="Cambria Math"/>
                    <w:sz w:val="24"/>
                    <w:szCs w:val="24"/>
                  </w:rPr>
                  <m:t>·m</m:t>
                </m:r>
              </m:oMath>
            </m:oMathPara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где </w:t>
            </w:r>
            <m:oMath>
              <m:r>
                <w:rPr>
                  <w:rFonts w:ascii="Cambria Math" w:hAnsi="Cambria Math" w:cs="Cambria Math"/>
                  <w:sz w:val="24"/>
                  <w:szCs w:val="24"/>
                </w:rPr>
                <m:t>m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— кратность упаковки поставщика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4.7</w:t>
            </w:r>
          </w:p>
        </w:tc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Рассчитать сумму заказа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Сумма = </w:t>
            </w:r>
            <m:oMath>
              <m:r>
                <w:rPr>
                  <w:rFonts w:ascii="Cambria Math" w:hAnsi="Cambria Math" w:cs="Cambria Math"/>
                  <w:sz w:val="24"/>
                  <w:szCs w:val="24"/>
                </w:rPr>
                <m:t>Q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× цена закупки; итог по поставщику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4.5 Декомпозиция блока A2 «Продавать продукцию по FEFO»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декомпозиции блока A2 (рисунок 5.4) отражает запись продажи. После выбора товара и количества проверяется, хватает ли годного товара (перекрёсток «X» J1). Если не хватает, продажа не записывается и флорист видит доступное количество. Иначе годные партии упорядочиваются по сроку годности, товар списывается начиная с партии с самым ранним сроком (правило FEFO), по каждой затронутой партии создаётся запись продажи.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5425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3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42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5.4 – Диаграмма IDEF3 декомпозиции блока A2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Описание элементов диаграммы приведено в таблице 5.6.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5.6 – Элементы диаграммы IDEF3 «Диаграмма IDEF3 декомпозиции блока A2»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5.6|0"/>
      </w:tblPr>
      <w:tblGrid>
        <w:gridCol w:w="964"/>
        <w:gridCol w:w="2721"/>
        <w:gridCol w:w="5669"/>
      </w:tblGrid>
      <w:tr>
        <w:trPr>
          <w:cantSplit/>
          <w:tblHeader/>
        </w:trPr>
        <w:tc>
          <w:tcPr>
            <w:tcW w:type="dxa" w:w="964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Номер</w:t>
            </w:r>
          </w:p>
        </w:tc>
        <w:tc>
          <w:tcPr>
            <w:tcW w:type="dxa" w:w="272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Элемент</w:t>
            </w:r>
          </w:p>
        </w:tc>
        <w:tc>
          <w:tcPr>
            <w:tcW w:type="dxa" w:w="5669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</w:t>
            </w:r>
          </w:p>
        </w:tc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Выбрать товар и количество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Флорист выбирает товар из списка и вводит количество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2.2</w:t>
            </w:r>
          </w:p>
        </w:tc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Проверить количество и остаток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Количество — целое число больше нуля; остаток — сумма остатков непросроченных партий товара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J1, J2</w:t>
            </w:r>
          </w:p>
        </w:tc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Перекрёстки «X»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Ветвление и слияние по достаточности остатка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2.3</w:t>
            </w:r>
          </w:p>
        </w:tc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Отказать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Продажа не записывается, выводится сообщение с доступным количеством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</w:t>
            </w:r>
          </w:p>
        </w:tc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Упорядочить партии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Годные партии с ненулевым остатком по возрастанию срока годности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</w:t>
            </w:r>
          </w:p>
        </w:tc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Списать и записать продажи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Из каждой партии берётся 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min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(</m:t>
              </m:r>
              <m:r>
                <m:rPr>
                  <m:nor/>
                </m:rPr>
                <w:rPr>
                  <w:rFonts w:ascii="Cambria Math" w:hAnsi="Cambria Math" w:cs="Cambria Math"/>
                  <w:sz w:val="24"/>
                  <w:szCs w:val="24"/>
                </w:rPr>
                <m:t>нужно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 остаток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)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; продажа записывается по каждой партии по текущей цене товара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2.6</w:t>
            </w:r>
          </w:p>
        </w:tc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Показать результат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Сообщение «Продажа записана» и 20 последних продаж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4.6 Декомпозиция операции 4.2 «Рассчитать средние продажи за 14 дней» (третий уровень)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Операция 4.2 декомпозирована на третьем уровне модели (рисунок 5.5). Прогноз спроса строится методом скользящего среднего: берутся продажи товара за 14 полных дней до сегодняшнего, сегодняшний день не учитывается, так как продажи за него ещё не закончены. Дни без продаж учитываются как нулевые — иначе среднее было бы завышено.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0881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3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88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5.5 – Диаграмма IDEF3 декомпозиции операции 4.2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Описание элементов диаграммы приведено в таблице 5.7.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5.7 – Элементы диаграммы IDEF3 «Диаграмма IDEF3 декомпозиции операции 4.2»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5.7|0"/>
      </w:tblPr>
      <w:tblGrid>
        <w:gridCol w:w="964"/>
        <w:gridCol w:w="2721"/>
        <w:gridCol w:w="5669"/>
      </w:tblGrid>
      <w:tr>
        <w:trPr>
          <w:cantSplit/>
          <w:tblHeader/>
        </w:trPr>
        <w:tc>
          <w:tcPr>
            <w:tcW w:type="dxa" w:w="964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Номер</w:t>
            </w:r>
          </w:p>
        </w:tc>
        <w:tc>
          <w:tcPr>
            <w:tcW w:type="dxa" w:w="272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Элемент</w:t>
            </w:r>
          </w:p>
        </w:tc>
        <w:tc>
          <w:tcPr>
            <w:tcW w:type="dxa" w:w="5669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4.2.1</w:t>
            </w:r>
          </w:p>
        </w:tc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Выбрать продажи за 14 дней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Продажи товара с датой от «сегодня − 14 дней» до вчерашнего дня включительно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4.2.2</w:t>
            </w:r>
          </w:p>
        </w:tc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Сложить продажи по дням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Количество, проданное за каждый день (из нескольких партий и чеков)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4.2.3</w:t>
            </w:r>
          </w:p>
        </w:tc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Дополнить дни без продаж нулями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Ряд </w:t>
            </w:r>
            <m:oMath>
              <m:sSub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  <w:sz w:val="24"/>
                  <w:szCs w:val="24"/>
                </w:rPr>
                <m:t>,…,</m:t>
              </m:r>
              <m:sSub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14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из 14 значений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4.2.4</w:t>
            </w:r>
          </w:p>
        </w:tc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Рассчитать среднее</w:t>
            </w:r>
          </w:p>
        </w:tc>
        <w:tc>
          <w:tcPr>
            <w:tcW w:type="dxa" w:w="5669"/>
          </w:tcPr>
          <w:p>
            <w:pPr>
              <w:spacing w:after="0"/>
              <w:ind w:firstLine="0"/>
            </w:pPr>
            <w:r/>
            <m:oMathPara>
              <m:oMath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y</m:t>
                    </m:r>
                  </m:e>
                </m:bar>
                <m:r>
                  <w:rPr>
                    <w:rFonts w:ascii="Cambria Math" w:hAnsi="Cambria Math" w:cs="Cambria Math"/>
                    <w:sz w:val="24"/>
                    <w:szCs w:val="24"/>
                  </w:rPr>
                  <m:t>=</m:t>
                </m:r>
                <m:f>
                  <m:fPr>
                    <m:type m:val="bar"/>
                  </m:fPr>
                  <m:num>
                    <m:argPr>
                      <m:scrLvl m:val="0"/>
                    </m:argPr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1</m:t>
                    </m:r>
                  </m:num>
                  <m:den>
                    <m:argPr>
                      <m:scrLvl m:val="0"/>
                    </m:argPr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14</m:t>
                    </m:r>
                  </m:den>
                </m:f>
                <m:nary>
                  <m:naryPr>
                    <m:chr m:val="∑"/>
                    <m:limLoc m:val="undOvr"/>
                    <m:grow m:val="1"/>
                    <m:subHide m:val="off"/>
                    <m:supHide m:val="off"/>
                  </m:naryPr>
                  <m:sub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14</m:t>
                    </m:r>
                  </m:sup>
                  <m:e>
                    <m:sSub>
                      <m:e>
                        <m:r>
                          <w:rPr>
                            <w:rFonts w:ascii="Cambria Math" w:hAnsi="Cambria Math" w:cs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прогноз на неделю — </w:t>
            </w:r>
            <m:oMath>
              <m:r>
                <w:rPr>
                  <w:rFonts w:ascii="Cambria Math" w:hAnsi="Cambria Math" w:cs="Cambria Math"/>
                  <w:sz w:val="24"/>
                  <w:szCs w:val="24"/>
                </w:rPr>
                <m:t>7</m:t>
              </m:r>
              <m:bar>
                <m:barPr>
                  <m:pos m:val="top"/>
                </m:bar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y</m:t>
                  </m:r>
                </m:e>
              </m:bar>
            </m:oMath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4.7 Хранилища данных и внешние объекты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Хранилища данных, используемые в модели, и внешние по отношению к системе объекты приведены в таблице 5.8.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5.8 – Хранилища данных и внешние объекты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5.8|0"/>
      </w:tblPr>
      <w:tblGrid>
        <w:gridCol w:w="2608"/>
        <w:gridCol w:w="1701"/>
        <w:gridCol w:w="5046"/>
      </w:tblGrid>
      <w:tr>
        <w:trPr>
          <w:cantSplit/>
          <w:tblHeader/>
        </w:trPr>
        <w:tc>
          <w:tcPr>
            <w:tcW w:type="dxa" w:w="260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Наименование</w:t>
            </w:r>
          </w:p>
        </w:tc>
        <w:tc>
          <w:tcPr>
            <w:tcW w:type="dxa" w:w="170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Вид</w:t>
            </w:r>
          </w:p>
        </w:tc>
        <w:tc>
          <w:tcPr>
            <w:tcW w:type="dxa" w:w="5046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Файл базы данных floraplan.db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Хранилище данных</w:t>
            </w:r>
          </w:p>
        </w:tc>
        <w:tc>
          <w:tcPr>
            <w:tcW w:type="dxa" w:w="504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Таблицы users, suppliers, products, batches, sales, writeoffs (СУБД SQLite)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Справочник товаров и поставщиков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Хранилище данных</w:t>
            </w:r>
          </w:p>
        </w:tc>
        <w:tc>
          <w:tcPr>
            <w:tcW w:type="dxa" w:w="504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Цены, срок реализации, кратность упаковки, срок поставки</w:t>
            </w:r>
          </w:p>
        </w:tc>
      </w:tr>
    </w:tbl>
    <w:p>
      <w:pPr>
        <w:keepNext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Продолжение таблицы 5.8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5.8|2"/>
      </w:tblPr>
      <w:tblGrid>
        <w:gridCol w:w="2608"/>
        <w:gridCol w:w="1701"/>
        <w:gridCol w:w="5046"/>
      </w:tblGrid>
      <w:tr>
        <w:trPr>
          <w:cantSplit/>
          <w:tblHeader/>
        </w:trPr>
        <w:tc>
          <w:tcPr>
            <w:tcW w:type="dxa" w:w="260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Наименование</w:t>
            </w:r>
          </w:p>
        </w:tc>
        <w:tc>
          <w:tcPr>
            <w:tcW w:type="dxa" w:w="170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Вид</w:t>
            </w:r>
          </w:p>
        </w:tc>
        <w:tc>
          <w:tcPr>
            <w:tcW w:type="dxa" w:w="5046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Правила расчёта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Хранилище данных (в коде программы)</w:t>
            </w:r>
          </w:p>
        </w:tc>
        <w:tc>
          <w:tcPr>
            <w:tcW w:type="dxa" w:w="504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Период прогноза 14 дней, интервал заказа 3 дня, страховой запас 20 %, порог «истекает» 2 дня — модуль logic.py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Поставщики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Внешний объект</w:t>
            </w:r>
          </w:p>
        </w:tc>
        <w:tc>
          <w:tcPr>
            <w:tcW w:type="dxa" w:w="504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Источник продукции, получатель заказа (по телефону или почте)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Покупатели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Внешний объект</w:t>
            </w:r>
          </w:p>
        </w:tc>
        <w:tc>
          <w:tcPr>
            <w:tcW w:type="dxa" w:w="504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Получатели продукции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Касса салона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Внешний объект</w:t>
            </w:r>
          </w:p>
        </w:tc>
        <w:tc>
          <w:tcPr>
            <w:tcW w:type="dxa" w:w="504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Работает независимо; программа с ней не обменивается</w:t>
            </w:r>
          </w:p>
        </w:tc>
      </w:tr>
    </w:tbl>
    <w:p>
      <w:pPr>
        <w:spacing w:line="240" w:lineRule="auto"/>
      </w:pP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5 Заключение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работы изучены методологии функционального моделирования IDEF0 и IDEF3 и построена функциональная модель базовой редакции информационной системы планирования процессов закупки и продажи цветочной продукции. Модель включает три уровня: контекстную диаграмму A-0, диаграмму декомпозиции A0 с пятью функциональными блоками, диаграммы IDEF3 второго уровня для блоков A4 (7 единиц работы) и A2 (6 единиц работы) и диаграмму третьего уровня для операции 4.2 (4 единицы работы).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Модель отражает весь функционал базовой редакции, потоки данных и материалов и правила их движения, в том числе независимое выполнение работ и ветвление процессов по условиям (достаточность остатка при продаже и при расчёте заказа).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6 Список используемой литературы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ГОСТ 34.601-90. Информационная технология. Комплекс стандартов на автоматизированные системы. Автоматизированные системы. Стадии создания. — М.: Стандартинформ, 2009.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ГОСТ 34.602-89. Информационная технология. Комплекс стандартов на автоматизированные системы. Техническое задание на создание автоматизированной системы. — М.: Стандартинформ, 2009.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ГОСТ Р ИСО/МЭК 12207-2010. Информационная технология. Системная и программная инженерия. Процессы жизненного цикла программных средств. — М.: Стандартинформ, 2011.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Соммервилл И. Инженерия программного обеспечения. — 6-е изд. — М.: Вильямс, 2002. — 624 с.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Вигерс К., Битти Д. Разработка требований к программному обеспечению. — 3-е изд. — М.: Русская редакция; СПб.: БХВ-Петербург, 2014. — 736 с.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Стерлигова А. Н. Управление запасами в цепях поставок. — М.: ИНФРА-М, 2009. — 430 с.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Hyndman R. J., Athanasopoulos G. Forecasting: Principles and Practice. — 3rd ed. — Melbourne: OTexts, 2021. — URL: https://otexts.com/fpp3/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Федеральный закон от 28.12.2009 № 381-ФЗ «Об основах государственного регулирования торговой деятельности в Российской Федерации».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9. Федеральный закон от 22.05.2003 № 54-ФЗ «О применении контрольно-кассовой техники при осуществлении расчётов в Российской Федерации».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10. Методические указания по выполнению практических работ по дисциплине «Программная инженерия». Части 1, 2. — Тула: ТулГУ.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11. Р 50.1.028-2001. Информационные технологии поддержки жизненного цикла продукции. Методология функционального моделирования. — М.: Госстандарт России, 2001.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12. Маклаков С. В. Моделирование бизнес-процессов с AllFusion Process Modeler (BPwin 4.1). — М.: Диалог-МИФИ, 2004. — 240 с.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8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709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auto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