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Project Outline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Track: Data Engineering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Dataset: Video Games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6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Data must be stored in a SQL or NoSQL database (PostgreSQL, MongoDB, SQLite, etc) and the database must include at least two tables (SQL) or collections (NoSQL).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u w:val="single"/>
          <w:rtl w:val="0"/>
        </w:rPr>
        <w:t xml:space="preserve">PostgreSQL or SQLite?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database must contain at least 100 records.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green"/>
          <w:rtl w:val="0"/>
        </w:rPr>
        <w:t xml:space="preserve">Done, 12k records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Your project must use ETL workflows to ingest data into the database (i.e. the data should not be exactly the same as the original source; it should have been transformed in some way).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u w:val="single"/>
          <w:rtl w:val="0"/>
        </w:rPr>
        <w:t xml:space="preserve"> Remove duplicates, remove null values, etc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Your project must include a method for reading data from the database and displaying it for future use, such 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Pandas DataFrame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Flask API with JSON output    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u w:val="single"/>
          <w:rtl w:val="0"/>
        </w:rPr>
        <w:t xml:space="preserve">Pandas DF’s and should do the trick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Your project must use one additional library not covered in class related to data engineering. Consider libraries for data streaming, cloud, data pipelines, or data validation. 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u w:val="single"/>
          <w:rtl w:val="0"/>
        </w:rPr>
        <w:t xml:space="preserve">Spark(PySpark)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Your GitHub repo must include a README.md with an outline of the project including: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An overview of the project and its purpose, instructions on how to use and interact with the project; Documentation of the database used and why (e.g. benefits of SQL or NoSQL for this project); ETL workflow with diagrams or ERD; At least one paragraph summarizing efforts for ethical considerations made in the project; References for the data source(s); and References for any code used that is not your own.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OPTIONAL: add user-driven interaction, either before or after the ETL process. e.g.: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BEFORE: provide a menu of options for the user to narrow the range of data being extracted from a data source (e.g. API or CSV file, where fields are known in advance).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76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AFTER: Once the data is stored in the database, add user capability to extract filtered data from the database prior to loading it in a Pandas DataFrame or a JSON output from a Flask API. ??????</w:t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