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1B3A5C"/>
          <w:sz w:val="72"/>
          <w:szCs w:val="72"/>
        </w:rPr>
        <w:t xml:space="preserve">SUPPLY CHAIN</w:t>
      </w:r>
    </w:p>
    <w:p>
      <w:pPr>
        <w:spacing w:after="80" w:before="0"/>
        <w:jc w:val="center"/>
      </w:pPr>
      <w:r>
        <w:rPr>
          <w:rFonts w:ascii="Arial" w:cs="Arial" w:eastAsia="Arial" w:hAnsi="Arial"/>
          <w:b/>
          <w:bCs/>
          <w:color w:val="1A7A6E"/>
          <w:sz w:val="52"/>
          <w:szCs w:val="52"/>
        </w:rPr>
        <w:t xml:space="preserve">PERFORMANCE &amp; DELAY ANALYSIS</w:t>
      </w:r>
    </w:p>
    <w:p>
      <w:pPr>
        <w:spacing w:after="200" w:before="0"/>
        <w:jc w:val="center"/>
      </w:pPr>
      <w:r>
        <w:rPr>
          <w:rFonts w:ascii="Arial" w:cs="Arial" w:eastAsia="Arial" w:hAnsi="Arial"/>
          <w:b/>
          <w:bCs/>
          <w:color w:val="D4A017"/>
          <w:sz w:val="26"/>
          <w:szCs w:val="26"/>
        </w:rPr>
        <w:t xml:space="preserve">COMPREHENSIVE BUSINESS INTELLIGENCE REPORT</w:t>
      </w:r>
    </w:p>
    <w:p>
      <w:pPr>
        <w:pBdr>
          <w:bottom w:val="single" w:color="1A7A6E" w:sz="12" w:space="1"/>
        </w:pBdr>
        <w:spacing w:after="60" w:before="60"/>
      </w:pP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jc w:val="center"/>
            </w:pPr>
            <w:r>
              <w:rPr>
                <w:rFonts w:ascii="Arial" w:cs="Arial" w:eastAsia="Arial" w:hAnsi="Arial"/>
                <w:b/>
                <w:bCs/>
                <w:color w:val="D4A017"/>
                <w:sz w:val="18"/>
                <w:szCs w:val="18"/>
              </w:rPr>
              <w:t xml:space="preserve">Prepared By</w:t>
            </w:r>
          </w:p>
          <w:p>
            <w:pPr>
              <w:jc w:val="center"/>
            </w:pPr>
            <w:r>
              <w:rPr>
                <w:rFonts w:ascii="Arial" w:cs="Arial" w:eastAsia="Arial" w:hAnsi="Arial"/>
                <w:b/>
                <w:bCs/>
                <w:color w:val="FFFFFF"/>
                <w:sz w:val="20"/>
                <w:szCs w:val="20"/>
              </w:rPr>
              <w:t xml:space="preserve">Supply Chain Analytics Division</w:t>
            </w:r>
          </w:p>
        </w:tc>
        <w:tc>
          <w:tcPr>
            <w:tcW w:type="dxa" w:w="4680"/>
            <w:tcBorders>
              <w:top w:val="none" w:color="FFFFFF" w:sz="0"/>
              <w:left w:val="none" w:color="FFFFFF" w:sz="0"/>
              <w:bottom w:val="none" w:color="FFFFFF" w:sz="0"/>
              <w:right w:val="none" w:color="FFFFFF" w:sz="0"/>
            </w:tcBorders>
            <w:shd w:fill="1A7A6E" w:val="clear"/>
            <w:tcMar>
              <w:top w:type="dxa" w:w="180"/>
              <w:left w:type="dxa" w:w="240"/>
              <w:bottom w:type="dxa" w:w="180"/>
              <w:right w:type="dxa" w:w="240"/>
            </w:tcMar>
          </w:tcPr>
          <w:p>
            <w:pPr>
              <w:jc w:val="center"/>
            </w:pPr>
            <w:r>
              <w:rPr>
                <w:rFonts w:ascii="Arial" w:cs="Arial" w:eastAsia="Arial" w:hAnsi="Arial"/>
                <w:b/>
                <w:bCs/>
                <w:color w:val="D4A017"/>
                <w:sz w:val="18"/>
                <w:szCs w:val="18"/>
              </w:rPr>
              <w:t xml:space="preserve">Report Date</w:t>
            </w:r>
          </w:p>
          <w:p>
            <w:pPr>
              <w:jc w:val="center"/>
            </w:pPr>
            <w:r>
              <w:rPr>
                <w:rFonts w:ascii="Arial" w:cs="Arial" w:eastAsia="Arial" w:hAnsi="Arial"/>
                <w:b/>
                <w:bCs/>
                <w:color w:val="FFFFFF"/>
                <w:sz w:val="20"/>
                <w:szCs w:val="20"/>
              </w:rPr>
              <w:t xml:space="preserve">April 2026</w:t>
            </w:r>
          </w:p>
        </w:tc>
      </w:tr>
    </w:tbl>
    <w:p>
      <w:pPr>
        <w:spacing w:after="240" w:before="240"/>
      </w:pPr>
    </w:p>
    <w:p>
      <w:pPr>
        <w:jc w:val="center"/>
      </w:pPr>
      <w:r>
        <w:rPr>
          <w:rFonts w:ascii="Arial" w:cs="Arial" w:eastAsia="Arial" w:hAnsi="Arial"/>
          <w:i/>
          <w:iCs/>
          <w:color w:val="5A5A5A"/>
          <w:sz w:val="18"/>
          <w:szCs w:val="18"/>
        </w:rPr>
        <w:t xml:space="preserve">Powered by Machine Learning &amp; Advanced Data Analytics</w:t>
      </w:r>
    </w:p>
    <w:p>
      <w:r>
        <w:br w:type="page"/>
      </w:r>
    </w:p>
    <w:p>
      <w:pPr>
        <w:pStyle w:val="Heading1"/>
        <w:spacing w:after="120" w:before="360"/>
      </w:pPr>
      <w:r>
        <w:rPr>
          <w:rFonts w:ascii="Arial" w:cs="Arial" w:eastAsia="Arial" w:hAnsi="Arial"/>
          <w:b/>
          <w:bCs/>
          <w:color w:val="1B3A5C"/>
          <w:sz w:val="32"/>
          <w:szCs w:val="32"/>
        </w:rPr>
        <w:t xml:space="preserve">1. Executive Summary</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This report presents a comprehensive analysis of supply chain performance, focusing on order profitability, delivery delays, operational bottlenecks, and machine learning-based risk prediction. The analysis was conducted on a large multi-regional dataset encompassing global order transactions, customer segments, shipping modes, and department-level operations.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8"/>
              <w:bottom w:val="none" w:color="FFFFFF" w:sz="0"/>
              <w:right w:val="none" w:color="FFFFFF" w:sz="0"/>
            </w:tcBorders>
            <w:shd w:fill="F0F7F4" w:val="clear"/>
            <w:tcMar>
              <w:top w:type="dxa" w:w="120"/>
              <w:left w:type="dxa" w:w="180"/>
              <w:bottom w:type="dxa" w:w="120"/>
              <w:right w:type="dxa" w:w="120"/>
            </w:tcMar>
          </w:tcPr>
          <w:p>
            <w:pPr>
              <w:spacing w:after="60" w:before="40"/>
            </w:pPr>
            <w:r>
              <w:rPr>
                <w:rFonts w:ascii="Arial" w:cs="Arial" w:eastAsia="Arial" w:hAnsi="Arial"/>
                <w:b/>
                <w:bCs/>
                <w:color w:val="1B3A5C"/>
                <w:sz w:val="22"/>
                <w:szCs w:val="22"/>
              </w:rPr>
              <w:t xml:space="preserve">Key Findings at a Glance</w:t>
            </w:r>
          </w:p>
          <w:p>
            <w:pPr>
              <w:pStyle w:val="ListParagraph"/>
              <w:numPr>
                <w:ilvl w:val="0"/>
                <w:numId w:val="2"/>
              </w:numPr>
              <w:spacing w:after="30" w:before="30"/>
            </w:pPr>
            <w:r>
              <w:rPr>
                <w:rFonts w:ascii="Arial" w:cs="Arial" w:eastAsia="Arial" w:hAnsi="Arial"/>
                <w:color w:val="5A5A5A"/>
                <w:sz w:val="20"/>
                <w:szCs w:val="20"/>
              </w:rPr>
              <w:t xml:space="preserve">Approximately 54% of all orders experienced delivery delays, making on-time delivery a critical operational challenge.</w:t>
            </w:r>
          </w:p>
          <w:p>
            <w:pPr>
              <w:pStyle w:val="ListParagraph"/>
              <w:numPr>
                <w:ilvl w:val="0"/>
                <w:numId w:val="2"/>
              </w:numPr>
              <w:spacing w:after="30" w:before="30"/>
            </w:pPr>
            <w:r>
              <w:rPr>
                <w:rFonts w:ascii="Arial" w:cs="Arial" w:eastAsia="Arial" w:hAnsi="Arial"/>
                <w:color w:val="5A5A5A"/>
                <w:sz w:val="20"/>
                <w:szCs w:val="20"/>
              </w:rPr>
              <w:t xml:space="preserve">Delayed orders account for a significant share of both profit erosion and financial losses across all regions.</w:t>
            </w:r>
          </w:p>
          <w:p>
            <w:pPr>
              <w:pStyle w:val="ListParagraph"/>
              <w:numPr>
                <w:ilvl w:val="0"/>
                <w:numId w:val="2"/>
              </w:numPr>
              <w:spacing w:after="30" w:before="30"/>
            </w:pPr>
            <w:r>
              <w:rPr>
                <w:rFonts w:ascii="Arial" w:cs="Arial" w:eastAsia="Arial" w:hAnsi="Arial"/>
                <w:color w:val="5A5A5A"/>
                <w:sz w:val="20"/>
                <w:szCs w:val="20"/>
              </w:rPr>
              <w:t xml:space="preserve">Standard Class and First Class shipping modes exhibit the highest delay rates, indicating systemic logistics inefficiencies.</w:t>
            </w:r>
          </w:p>
          <w:p>
            <w:pPr>
              <w:pStyle w:val="ListParagraph"/>
              <w:numPr>
                <w:ilvl w:val="0"/>
                <w:numId w:val="2"/>
              </w:numPr>
              <w:spacing w:after="30" w:before="30"/>
            </w:pPr>
            <w:r>
              <w:rPr>
                <w:rFonts w:ascii="Arial" w:cs="Arial" w:eastAsia="Arial" w:hAnsi="Arial"/>
                <w:color w:val="5A5A5A"/>
                <w:sz w:val="20"/>
                <w:szCs w:val="20"/>
              </w:rPr>
              <w:t xml:space="preserve">Central Africa, Western Europe, and South Asia are the highest-delay regions, requiring targeted operational interventions.</w:t>
            </w:r>
          </w:p>
          <w:p>
            <w:pPr>
              <w:pStyle w:val="ListParagraph"/>
              <w:numPr>
                <w:ilvl w:val="0"/>
                <w:numId w:val="2"/>
              </w:numPr>
              <w:spacing w:after="30" w:before="30"/>
            </w:pPr>
            <w:r>
              <w:rPr>
                <w:rFonts w:ascii="Arial" w:cs="Arial" w:eastAsia="Arial" w:hAnsi="Arial"/>
                <w:color w:val="5A5A5A"/>
                <w:sz w:val="20"/>
                <w:szCs w:val="20"/>
              </w:rPr>
              <w:t xml:space="preserve">Machine learning models (XGBoost, Random Forest) achieved strong predictive accuracy for late delivery risk, enabling proactive intervention.</w:t>
            </w:r>
          </w:p>
          <w:p>
            <w:pPr>
              <w:pStyle w:val="ListParagraph"/>
              <w:numPr>
                <w:ilvl w:val="0"/>
                <w:numId w:val="2"/>
              </w:numPr>
              <w:spacing w:after="30" w:before="30"/>
            </w:pPr>
            <w:r>
              <w:rPr>
                <w:rFonts w:ascii="Arial" w:cs="Arial" w:eastAsia="Arial" w:hAnsi="Arial"/>
                <w:color w:val="5A5A5A"/>
                <w:sz w:val="20"/>
                <w:szCs w:val="20"/>
              </w:rPr>
              <w:t xml:space="preserve">Time-based analysis reveals mid-year months (May–August) and specific order hours as peak delay windows.</w:t>
            </w:r>
          </w:p>
        </w:tc>
      </w:tr>
    </w:tbl>
    <w:p>
      <w:pPr>
        <w:spacing w:after="80" w:before="80"/>
      </w:pPr>
    </w:p>
    <w:p>
      <w:pPr>
        <w:spacing w:after="80" w:before="60"/>
      </w:pPr>
      <w:r>
        <w:rPr>
          <w:rFonts w:ascii="Arial" w:cs="Arial" w:eastAsia="Arial" w:hAnsi="Arial"/>
          <w:color w:val="5A5A5A"/>
          <w:sz w:val="22"/>
          <w:szCs w:val="22"/>
        </w:rPr>
        <w:t xml:space="preserve">The analysis leverages Python-based data science methodologies including feature engineering, statistical profiling, bottleneck detection, root cause analysis, and ensemble machine learning models trained on balanced datasets.</w:t>
      </w:r>
    </w:p>
    <w:p>
      <w:r>
        <w:br w:type="page"/>
      </w:r>
    </w:p>
    <w:p>
      <w:pPr>
        <w:pStyle w:val="Heading1"/>
        <w:spacing w:after="120" w:before="360"/>
      </w:pPr>
      <w:r>
        <w:rPr>
          <w:rFonts w:ascii="Arial" w:cs="Arial" w:eastAsia="Arial" w:hAnsi="Arial"/>
          <w:b/>
          <w:bCs/>
          <w:color w:val="1B3A5C"/>
          <w:sz w:val="32"/>
          <w:szCs w:val="32"/>
        </w:rPr>
        <w:t xml:space="preserve">2. Business Context &amp; Objectives</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Modern supply chains operate in an increasingly competitive and time-sensitive environment. Delivery delays not only erode customer trust but directly impact profitability through increased logistics costs, penalty charges, and lost future revenue. This study addresses the following core business challenges:</w:t>
      </w:r>
    </w:p>
    <w:p>
      <w:pPr>
        <w:spacing w:after="80" w:before="80"/>
      </w:pPr>
    </w:p>
    <w:p>
      <w:pPr>
        <w:pStyle w:val="Heading2"/>
        <w:spacing w:after="80" w:before="240"/>
      </w:pPr>
      <w:r>
        <w:rPr>
          <w:rFonts w:ascii="Arial" w:cs="Arial" w:eastAsia="Arial" w:hAnsi="Arial"/>
          <w:b/>
          <w:bCs/>
          <w:color w:val="1A7A6E"/>
          <w:sz w:val="26"/>
          <w:szCs w:val="26"/>
        </w:rPr>
        <w:t xml:space="preserve">2.1 Problem Statement</w:t>
      </w:r>
    </w:p>
    <w:p>
      <w:pPr>
        <w:spacing w:after="80" w:before="60"/>
      </w:pPr>
      <w:r>
        <w:rPr>
          <w:rFonts w:ascii="Arial" w:cs="Arial" w:eastAsia="Arial" w:hAnsi="Arial"/>
          <w:color w:val="5A5A5A"/>
          <w:sz w:val="22"/>
          <w:szCs w:val="22"/>
        </w:rPr>
        <w:t xml:space="preserve">The organization faces a persistent challenge of high delivery delay rates across multiple regions, shipping modes, and customer segments. Without a structured diagnostic framework, pinpointing the root causes and high-risk transaction patterns remains difficult for operations teams.</w:t>
      </w:r>
    </w:p>
    <w:p>
      <w:pPr>
        <w:spacing w:after="60" w:before="60"/>
      </w:pPr>
    </w:p>
    <w:p>
      <w:pPr>
        <w:pStyle w:val="Heading2"/>
        <w:spacing w:after="80" w:before="240"/>
      </w:pPr>
      <w:r>
        <w:rPr>
          <w:rFonts w:ascii="Arial" w:cs="Arial" w:eastAsia="Arial" w:hAnsi="Arial"/>
          <w:b/>
          <w:bCs/>
          <w:color w:val="1A7A6E"/>
          <w:sz w:val="26"/>
          <w:szCs w:val="26"/>
        </w:rPr>
        <w:t xml:space="preserve">2.2 Business Objectives</w:t>
      </w:r>
    </w:p>
    <w:p>
      <w:pPr>
        <w:pStyle w:val="ListParagraph"/>
        <w:numPr>
          <w:ilvl w:val="0"/>
          <w:numId w:val="2"/>
        </w:numPr>
        <w:spacing w:after="40" w:before="40"/>
      </w:pPr>
      <w:r>
        <w:rPr>
          <w:rFonts w:ascii="Arial" w:cs="Arial" w:eastAsia="Arial" w:hAnsi="Arial"/>
          <w:color w:val="5A5A5A"/>
          <w:sz w:val="22"/>
          <w:szCs w:val="22"/>
        </w:rPr>
        <w:t xml:space="preserve">Quantify the financial impact of delivery delays on profitability and revenue streams.</w:t>
      </w:r>
    </w:p>
    <w:p>
      <w:pPr>
        <w:pStyle w:val="ListParagraph"/>
        <w:numPr>
          <w:ilvl w:val="0"/>
          <w:numId w:val="2"/>
        </w:numPr>
        <w:spacing w:after="40" w:before="40"/>
      </w:pPr>
      <w:r>
        <w:rPr>
          <w:rFonts w:ascii="Arial" w:cs="Arial" w:eastAsia="Arial" w:hAnsi="Arial"/>
          <w:color w:val="5A5A5A"/>
          <w:sz w:val="22"/>
          <w:szCs w:val="22"/>
        </w:rPr>
        <w:t xml:space="preserve">Identify high-risk categories — regions, shipping modes, departments, and order types — that disproportionately contribute to delays.</w:t>
      </w:r>
    </w:p>
    <w:p>
      <w:pPr>
        <w:pStyle w:val="ListParagraph"/>
        <w:numPr>
          <w:ilvl w:val="0"/>
          <w:numId w:val="2"/>
        </w:numPr>
        <w:spacing w:after="40" w:before="40"/>
      </w:pPr>
      <w:r>
        <w:rPr>
          <w:rFonts w:ascii="Arial" w:cs="Arial" w:eastAsia="Arial" w:hAnsi="Arial"/>
          <w:color w:val="5A5A5A"/>
          <w:sz w:val="22"/>
          <w:szCs w:val="22"/>
        </w:rPr>
        <w:t xml:space="preserve">Understand temporal delay patterns to optimize staffing, logistics scheduling, and inventory management.</w:t>
      </w:r>
    </w:p>
    <w:p>
      <w:pPr>
        <w:pStyle w:val="ListParagraph"/>
        <w:numPr>
          <w:ilvl w:val="0"/>
          <w:numId w:val="2"/>
        </w:numPr>
        <w:spacing w:after="40" w:before="40"/>
      </w:pPr>
      <w:r>
        <w:rPr>
          <w:rFonts w:ascii="Arial" w:cs="Arial" w:eastAsia="Arial" w:hAnsi="Arial"/>
          <w:color w:val="5A5A5A"/>
          <w:sz w:val="22"/>
          <w:szCs w:val="22"/>
        </w:rPr>
        <w:t xml:space="preserve">Build a predictive model capable of flagging late delivery risk at the time of order placement.</w:t>
      </w:r>
    </w:p>
    <w:p>
      <w:pPr>
        <w:pStyle w:val="ListParagraph"/>
        <w:numPr>
          <w:ilvl w:val="0"/>
          <w:numId w:val="2"/>
        </w:numPr>
        <w:spacing w:after="40" w:before="40"/>
      </w:pPr>
      <w:r>
        <w:rPr>
          <w:rFonts w:ascii="Arial" w:cs="Arial" w:eastAsia="Arial" w:hAnsi="Arial"/>
          <w:color w:val="5A5A5A"/>
          <w:sz w:val="22"/>
          <w:szCs w:val="22"/>
        </w:rPr>
        <w:t xml:space="preserve">Deliver actionable strategic recommendations to reduce delay rates and improve supply chain resilience.</w:t>
      </w:r>
    </w:p>
    <w:p>
      <w:pPr>
        <w:spacing w:after="80" w:before="80"/>
      </w:pPr>
    </w:p>
    <w:p>
      <w:pPr>
        <w:pStyle w:val="Heading2"/>
        <w:spacing w:after="80" w:before="240"/>
      </w:pPr>
      <w:r>
        <w:rPr>
          <w:rFonts w:ascii="Arial" w:cs="Arial" w:eastAsia="Arial" w:hAnsi="Arial"/>
          <w:b/>
          <w:bCs/>
          <w:color w:val="1A7A6E"/>
          <w:sz w:val="26"/>
          <w:szCs w:val="26"/>
        </w:rPr>
        <w:t xml:space="preserve">2.3 Data Sources</w:t>
      </w:r>
    </w:p>
    <w:p>
      <w:pPr>
        <w:spacing w:after="80" w:before="60"/>
      </w:pPr>
      <w:r>
        <w:rPr>
          <w:rFonts w:ascii="Arial" w:cs="Arial" w:eastAsia="Arial" w:hAnsi="Arial"/>
          <w:color w:val="5A5A5A"/>
          <w:sz w:val="22"/>
          <w:szCs w:val="22"/>
        </w:rPr>
        <w:t xml:space="preserve">The analysis is based on two structured CSV datasets containing transactional records with attributes spanning:</w:t>
      </w:r>
    </w:p>
    <w:p>
      <w:pPr>
        <w:pStyle w:val="ListParagraph"/>
        <w:numPr>
          <w:ilvl w:val="0"/>
          <w:numId w:val="2"/>
        </w:numPr>
        <w:spacing w:after="40" w:before="40"/>
      </w:pPr>
      <w:r>
        <w:rPr>
          <w:rFonts w:ascii="Arial" w:cs="Arial" w:eastAsia="Arial" w:hAnsi="Arial"/>
          <w:color w:val="5A5A5A"/>
          <w:sz w:val="22"/>
          <w:szCs w:val="22"/>
        </w:rPr>
        <w:t xml:space="preserve">Order metadata: order dates, shipping dates, scheduled shipment days, processing times, order regions, and statuses.</w:t>
      </w:r>
    </w:p>
    <w:p>
      <w:pPr>
        <w:pStyle w:val="ListParagraph"/>
        <w:numPr>
          <w:ilvl w:val="0"/>
          <w:numId w:val="2"/>
        </w:numPr>
        <w:spacing w:after="40" w:before="40"/>
      </w:pPr>
      <w:r>
        <w:rPr>
          <w:rFonts w:ascii="Arial" w:cs="Arial" w:eastAsia="Arial" w:hAnsi="Arial"/>
          <w:color w:val="5A5A5A"/>
          <w:sz w:val="22"/>
          <w:szCs w:val="22"/>
        </w:rPr>
        <w:t xml:space="preserve">Product &amp; Category information: department names, product categories, and pricing tiers.</w:t>
      </w:r>
    </w:p>
    <w:p>
      <w:pPr>
        <w:pStyle w:val="ListParagraph"/>
        <w:numPr>
          <w:ilvl w:val="0"/>
          <w:numId w:val="2"/>
        </w:numPr>
        <w:spacing w:after="40" w:before="40"/>
      </w:pPr>
      <w:r>
        <w:rPr>
          <w:rFonts w:ascii="Arial" w:cs="Arial" w:eastAsia="Arial" w:hAnsi="Arial"/>
          <w:color w:val="5A5A5A"/>
          <w:sz w:val="22"/>
          <w:szCs w:val="22"/>
        </w:rPr>
        <w:t xml:space="preserve">Customer attributes: customer segments, geographic segments, and payment types.</w:t>
      </w:r>
    </w:p>
    <w:p>
      <w:pPr>
        <w:pStyle w:val="ListParagraph"/>
        <w:numPr>
          <w:ilvl w:val="0"/>
          <w:numId w:val="2"/>
        </w:numPr>
        <w:spacing w:after="40" w:before="40"/>
      </w:pPr>
      <w:r>
        <w:rPr>
          <w:rFonts w:ascii="Arial" w:cs="Arial" w:eastAsia="Arial" w:hAnsi="Arial"/>
          <w:color w:val="5A5A5A"/>
          <w:sz w:val="22"/>
          <w:szCs w:val="22"/>
        </w:rPr>
        <w:t xml:space="preserve">Logistics metrics: shipping modes, actual vs. scheduled delivery days, and delivery status flags.</w:t>
      </w:r>
    </w:p>
    <w:p>
      <w:pPr>
        <w:pStyle w:val="ListParagraph"/>
        <w:numPr>
          <w:ilvl w:val="0"/>
          <w:numId w:val="2"/>
        </w:numPr>
        <w:spacing w:after="40" w:before="40"/>
      </w:pPr>
      <w:r>
        <w:rPr>
          <w:rFonts w:ascii="Arial" w:cs="Arial" w:eastAsia="Arial" w:hAnsi="Arial"/>
          <w:color w:val="5A5A5A"/>
          <w:sz w:val="22"/>
          <w:szCs w:val="22"/>
        </w:rPr>
        <w:t xml:space="preserve">Financial data: profit per order, revenue, and loss metrics.</w:t>
      </w:r>
    </w:p>
    <w:p>
      <w:pPr>
        <w:spacing w:after="60" w:before="60"/>
      </w:pPr>
    </w:p>
    <w:p>
      <w:pPr>
        <w:spacing w:after="80" w:before="60"/>
      </w:pPr>
      <w:r>
        <w:rPr>
          <w:rFonts w:ascii="Arial" w:cs="Arial" w:eastAsia="Arial" w:hAnsi="Arial"/>
          <w:color w:val="5A5A5A"/>
          <w:sz w:val="22"/>
          <w:szCs w:val="22"/>
        </w:rPr>
        <w:t xml:space="preserve">Data preprocessing involved removal of 33 redundant, privacy-sensitive, or zero-variance columns, exclusion of cancelled shipments, datetime conversion, and engineering of derived delay and profitability metrics.</w:t>
      </w:r>
    </w:p>
    <w:p>
      <w:r>
        <w:br w:type="page"/>
      </w:r>
    </w:p>
    <w:p>
      <w:pPr>
        <w:pStyle w:val="Heading1"/>
        <w:spacing w:after="120" w:before="360"/>
      </w:pPr>
      <w:r>
        <w:rPr>
          <w:rFonts w:ascii="Arial" w:cs="Arial" w:eastAsia="Arial" w:hAnsi="Arial"/>
          <w:b/>
          <w:bCs/>
          <w:color w:val="1B3A5C"/>
          <w:sz w:val="32"/>
          <w:szCs w:val="32"/>
        </w:rPr>
        <w:t xml:space="preserve">3. Key Performance Indicators (KPIs)</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The following KPIs were derived through feature engineering and aggregation across the cleaned dataset. These metrics form the foundation of all downstream analysis and strategic recommendations.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none" w:color="FFFFFF" w:sz="0"/>
              <w:left w:val="none" w:color="FFFFFF" w:sz="0"/>
              <w:bottom w:val="none" w:color="FFFFFF" w:sz="0"/>
              <w:right w:val="none" w:color="FFFFFF" w:sz="0"/>
            </w:tcBorders>
            <w:shd w:fill="E8F4F8" w:val="clear"/>
            <w:tcMar>
              <w:top w:type="dxa" w:w="140"/>
              <w:left w:type="dxa" w:w="160"/>
              <w:bottom w:type="dxa" w:w="140"/>
              <w:right w:type="dxa" w:w="160"/>
            </w:tcMar>
          </w:tcPr>
          <w:p>
            <w:pPr>
              <w:spacing w:after="20" w:before="40"/>
              <w:jc w:val="center"/>
            </w:pPr>
            <w:r>
              <w:rPr>
                <w:rFonts w:ascii="Arial" w:cs="Arial" w:eastAsia="Arial" w:hAnsi="Arial"/>
                <w:b/>
                <w:bCs/>
                <w:color w:val="C0392B"/>
                <w:sz w:val="36"/>
                <w:szCs w:val="36"/>
              </w:rPr>
              <w:t xml:space="preserve">~54%</w:t>
            </w:r>
          </w:p>
          <w:p>
            <w:pPr>
              <w:spacing w:after="40" w:before="0"/>
              <w:jc w:val="center"/>
            </w:pPr>
            <w:r>
              <w:rPr>
                <w:rFonts w:ascii="Arial" w:cs="Arial" w:eastAsia="Arial" w:hAnsi="Arial"/>
                <w:color w:val="5A5A5A"/>
                <w:sz w:val="16"/>
                <w:szCs w:val="16"/>
              </w:rPr>
              <w:t xml:space="preserve">Delayed Orders %</w:t>
            </w:r>
          </w:p>
        </w:tc>
        <w:tc>
          <w:tcPr>
            <w:tcW w:type="dxa" w:w="2200"/>
            <w:tcBorders>
              <w:top w:val="none" w:color="FFFFFF" w:sz="0"/>
              <w:left w:val="none" w:color="FFFFFF" w:sz="0"/>
              <w:bottom w:val="none" w:color="FFFFFF" w:sz="0"/>
              <w:right w:val="none" w:color="FFFFFF" w:sz="0"/>
            </w:tcBorders>
            <w:shd w:fill="E8F4F8" w:val="clear"/>
            <w:tcMar>
              <w:top w:type="dxa" w:w="140"/>
              <w:left w:type="dxa" w:w="160"/>
              <w:bottom w:type="dxa" w:w="140"/>
              <w:right w:type="dxa" w:w="160"/>
            </w:tcMar>
          </w:tcPr>
          <w:p>
            <w:pPr>
              <w:spacing w:after="20" w:before="40"/>
              <w:jc w:val="center"/>
            </w:pPr>
            <w:r>
              <w:rPr>
                <w:rFonts w:ascii="Arial" w:cs="Arial" w:eastAsia="Arial" w:hAnsi="Arial"/>
                <w:b/>
                <w:bCs/>
                <w:color w:val="1E8449"/>
                <w:sz w:val="36"/>
                <w:szCs w:val="36"/>
              </w:rPr>
              <w:t xml:space="preserve">~46%</w:t>
            </w:r>
          </w:p>
          <w:p>
            <w:pPr>
              <w:spacing w:after="40" w:before="0"/>
              <w:jc w:val="center"/>
            </w:pPr>
            <w:r>
              <w:rPr>
                <w:rFonts w:ascii="Arial" w:cs="Arial" w:eastAsia="Arial" w:hAnsi="Arial"/>
                <w:color w:val="5A5A5A"/>
                <w:sz w:val="16"/>
                <w:szCs w:val="16"/>
              </w:rPr>
              <w:t xml:space="preserve">On-Time Delivery %</w:t>
            </w:r>
          </w:p>
        </w:tc>
        <w:tc>
          <w:tcPr>
            <w:tcW w:type="dxa" w:w="2200"/>
            <w:tcBorders>
              <w:top w:val="none" w:color="FFFFFF" w:sz="0"/>
              <w:left w:val="none" w:color="FFFFFF" w:sz="0"/>
              <w:bottom w:val="none" w:color="FFFFFF" w:sz="0"/>
              <w:right w:val="none" w:color="FFFFFF" w:sz="0"/>
            </w:tcBorders>
            <w:shd w:fill="E8F4F8" w:val="clear"/>
            <w:tcMar>
              <w:top w:type="dxa" w:w="140"/>
              <w:left w:type="dxa" w:w="160"/>
              <w:bottom w:type="dxa" w:w="140"/>
              <w:right w:type="dxa" w:w="160"/>
            </w:tcMar>
          </w:tcPr>
          <w:p>
            <w:pPr>
              <w:spacing w:after="20" w:before="40"/>
              <w:jc w:val="center"/>
            </w:pPr>
            <w:r>
              <w:rPr>
                <w:rFonts w:ascii="Arial" w:cs="Arial" w:eastAsia="Arial" w:hAnsi="Arial"/>
                <w:b/>
                <w:bCs/>
                <w:color w:val="D4A017"/>
                <w:sz w:val="36"/>
                <w:szCs w:val="36"/>
              </w:rPr>
              <w:t xml:space="preserve">2.1 days</w:t>
            </w:r>
          </w:p>
          <w:p>
            <w:pPr>
              <w:spacing w:after="40" w:before="0"/>
              <w:jc w:val="center"/>
            </w:pPr>
            <w:r>
              <w:rPr>
                <w:rFonts w:ascii="Arial" w:cs="Arial" w:eastAsia="Arial" w:hAnsi="Arial"/>
                <w:color w:val="5A5A5A"/>
                <w:sz w:val="16"/>
                <w:szCs w:val="16"/>
              </w:rPr>
              <w:t xml:space="preserve">Avg. Delay (Days)</w:t>
            </w:r>
          </w:p>
        </w:tc>
        <w:tc>
          <w:tcPr>
            <w:tcW w:type="dxa" w:w="2200"/>
            <w:tcBorders>
              <w:top w:val="none" w:color="FFFFFF" w:sz="0"/>
              <w:left w:val="none" w:color="FFFFFF" w:sz="0"/>
              <w:bottom w:val="none" w:color="FFFFFF" w:sz="0"/>
              <w:right w:val="none" w:color="FFFFFF" w:sz="0"/>
            </w:tcBorders>
            <w:shd w:fill="E8F4F8" w:val="clear"/>
            <w:tcMar>
              <w:top w:type="dxa" w:w="140"/>
              <w:left w:type="dxa" w:w="160"/>
              <w:bottom w:type="dxa" w:w="140"/>
              <w:right w:type="dxa" w:w="160"/>
            </w:tcMar>
          </w:tcPr>
          <w:p>
            <w:pPr>
              <w:spacing w:after="20" w:before="40"/>
              <w:jc w:val="center"/>
            </w:pPr>
            <w:r>
              <w:rPr>
                <w:rFonts w:ascii="Arial" w:cs="Arial" w:eastAsia="Arial" w:hAnsi="Arial"/>
                <w:b/>
                <w:bCs/>
                <w:color w:val="C0392B"/>
                <w:sz w:val="36"/>
                <w:szCs w:val="36"/>
              </w:rPr>
              <w:t xml:space="preserve">4 days</w:t>
            </w:r>
          </w:p>
          <w:p>
            <w:pPr>
              <w:spacing w:after="40" w:before="0"/>
              <w:jc w:val="center"/>
            </w:pPr>
            <w:r>
              <w:rPr>
                <w:rFonts w:ascii="Arial" w:cs="Arial" w:eastAsia="Arial" w:hAnsi="Arial"/>
                <w:color w:val="5A5A5A"/>
                <w:sz w:val="16"/>
                <w:szCs w:val="16"/>
              </w:rPr>
              <w:t xml:space="preserve">90th Pctile Delay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none" w:color="FFFFFF" w:sz="0"/>
              <w:left w:val="none" w:color="FFFFFF" w:sz="0"/>
              <w:bottom w:val="none" w:color="FFFFFF" w:sz="0"/>
              <w:right w:val="none" w:color="FFFFFF" w:sz="0"/>
            </w:tcBorders>
            <w:shd w:fill="E8F4F8" w:val="clear"/>
            <w:tcMar>
              <w:top w:type="dxa" w:w="140"/>
              <w:left w:type="dxa" w:w="160"/>
              <w:bottom w:type="dxa" w:w="140"/>
              <w:right w:type="dxa" w:w="160"/>
            </w:tcMar>
          </w:tcPr>
          <w:p>
            <w:pPr>
              <w:spacing w:after="20" w:before="40"/>
              <w:jc w:val="center"/>
            </w:pPr>
            <w:r>
              <w:rPr>
                <w:rFonts w:ascii="Arial" w:cs="Arial" w:eastAsia="Arial" w:hAnsi="Arial"/>
                <w:b/>
                <w:bCs/>
                <w:color w:val="1E8449"/>
                <w:sz w:val="36"/>
                <w:szCs w:val="36"/>
              </w:rPr>
              <w:t xml:space="preserve">~3.9M $</w:t>
            </w:r>
          </w:p>
          <w:p>
            <w:pPr>
              <w:spacing w:after="40" w:before="0"/>
              <w:jc w:val="center"/>
            </w:pPr>
            <w:r>
              <w:rPr>
                <w:rFonts w:ascii="Arial" w:cs="Arial" w:eastAsia="Arial" w:hAnsi="Arial"/>
                <w:color w:val="5A5A5A"/>
                <w:sz w:val="16"/>
                <w:szCs w:val="16"/>
              </w:rPr>
              <w:t xml:space="preserve">Total Profit</w:t>
            </w:r>
          </w:p>
        </w:tc>
        <w:tc>
          <w:tcPr>
            <w:tcW w:type="dxa" w:w="2200"/>
            <w:tcBorders>
              <w:top w:val="none" w:color="FFFFFF" w:sz="0"/>
              <w:left w:val="none" w:color="FFFFFF" w:sz="0"/>
              <w:bottom w:val="none" w:color="FFFFFF" w:sz="0"/>
              <w:right w:val="none" w:color="FFFFFF" w:sz="0"/>
            </w:tcBorders>
            <w:shd w:fill="E8F4F8" w:val="clear"/>
            <w:tcMar>
              <w:top w:type="dxa" w:w="140"/>
              <w:left w:type="dxa" w:w="160"/>
              <w:bottom w:type="dxa" w:w="140"/>
              <w:right w:type="dxa" w:w="160"/>
            </w:tcMar>
          </w:tcPr>
          <w:p>
            <w:pPr>
              <w:spacing w:after="20" w:before="40"/>
              <w:jc w:val="center"/>
            </w:pPr>
            <w:r>
              <w:rPr>
                <w:rFonts w:ascii="Arial" w:cs="Arial" w:eastAsia="Arial" w:hAnsi="Arial"/>
                <w:b/>
                <w:bCs/>
                <w:color w:val="C0392B"/>
                <w:sz w:val="36"/>
                <w:szCs w:val="36"/>
              </w:rPr>
              <w:t xml:space="preserve">~1.4M $</w:t>
            </w:r>
          </w:p>
          <w:p>
            <w:pPr>
              <w:spacing w:after="40" w:before="0"/>
              <w:jc w:val="center"/>
            </w:pPr>
            <w:r>
              <w:rPr>
                <w:rFonts w:ascii="Arial" w:cs="Arial" w:eastAsia="Arial" w:hAnsi="Arial"/>
                <w:color w:val="5A5A5A"/>
                <w:sz w:val="16"/>
                <w:szCs w:val="16"/>
              </w:rPr>
              <w:t xml:space="preserve">Total Loss</w:t>
            </w:r>
          </w:p>
        </w:tc>
        <w:tc>
          <w:tcPr>
            <w:tcW w:type="dxa" w:w="2200"/>
            <w:tcBorders>
              <w:top w:val="none" w:color="FFFFFF" w:sz="0"/>
              <w:left w:val="none" w:color="FFFFFF" w:sz="0"/>
              <w:bottom w:val="none" w:color="FFFFFF" w:sz="0"/>
              <w:right w:val="none" w:color="FFFFFF" w:sz="0"/>
            </w:tcBorders>
            <w:shd w:fill="E8F4F8" w:val="clear"/>
            <w:tcMar>
              <w:top w:type="dxa" w:w="140"/>
              <w:left w:type="dxa" w:w="160"/>
              <w:bottom w:type="dxa" w:w="140"/>
              <w:right w:type="dxa" w:w="160"/>
            </w:tcMar>
          </w:tcPr>
          <w:p>
            <w:pPr>
              <w:spacing w:after="20" w:before="40"/>
              <w:jc w:val="center"/>
            </w:pPr>
            <w:r>
              <w:rPr>
                <w:rFonts w:ascii="Arial" w:cs="Arial" w:eastAsia="Arial" w:hAnsi="Arial"/>
                <w:b/>
                <w:bCs/>
                <w:color w:val="1A7A6E"/>
                <w:sz w:val="36"/>
                <w:szCs w:val="36"/>
              </w:rPr>
              <w:t xml:space="preserve">~2.1M $</w:t>
            </w:r>
          </w:p>
          <w:p>
            <w:pPr>
              <w:spacing w:after="40" w:before="0"/>
              <w:jc w:val="center"/>
            </w:pPr>
            <w:r>
              <w:rPr>
                <w:rFonts w:ascii="Arial" w:cs="Arial" w:eastAsia="Arial" w:hAnsi="Arial"/>
                <w:color w:val="5A5A5A"/>
                <w:sz w:val="16"/>
                <w:szCs w:val="16"/>
              </w:rPr>
              <w:t xml:space="preserve">Profit (Delayed)</w:t>
            </w:r>
          </w:p>
        </w:tc>
        <w:tc>
          <w:tcPr>
            <w:tcW w:type="dxa" w:w="2200"/>
            <w:tcBorders>
              <w:top w:val="none" w:color="FFFFFF" w:sz="0"/>
              <w:left w:val="none" w:color="FFFFFF" w:sz="0"/>
              <w:bottom w:val="none" w:color="FFFFFF" w:sz="0"/>
              <w:right w:val="none" w:color="FFFFFF" w:sz="0"/>
            </w:tcBorders>
            <w:shd w:fill="E8F4F8" w:val="clear"/>
            <w:tcMar>
              <w:top w:type="dxa" w:w="140"/>
              <w:left w:type="dxa" w:w="160"/>
              <w:bottom w:type="dxa" w:w="140"/>
              <w:right w:type="dxa" w:w="160"/>
            </w:tcMar>
          </w:tcPr>
          <w:p>
            <w:pPr>
              <w:spacing w:after="20" w:before="40"/>
              <w:jc w:val="center"/>
            </w:pPr>
            <w:r>
              <w:rPr>
                <w:rFonts w:ascii="Arial" w:cs="Arial" w:eastAsia="Arial" w:hAnsi="Arial"/>
                <w:b/>
                <w:bCs/>
                <w:color w:val="C0392B"/>
                <w:sz w:val="36"/>
                <w:szCs w:val="36"/>
              </w:rPr>
              <w:t xml:space="preserve">~0.8M $</w:t>
            </w:r>
          </w:p>
          <w:p>
            <w:pPr>
              <w:spacing w:after="40" w:before="0"/>
              <w:jc w:val="center"/>
            </w:pPr>
            <w:r>
              <w:rPr>
                <w:rFonts w:ascii="Arial" w:cs="Arial" w:eastAsia="Arial" w:hAnsi="Arial"/>
                <w:color w:val="5A5A5A"/>
                <w:sz w:val="16"/>
                <w:szCs w:val="16"/>
              </w:rPr>
              <w:t xml:space="preserve">Loss (Delayed)</w:t>
            </w:r>
          </w:p>
        </w:tc>
      </w:tr>
    </w:tbl>
    <w:p>
      <w:pPr>
        <w:spacing w:after="100" w:before="100"/>
      </w:pPr>
    </w:p>
    <w:p>
      <w:pPr>
        <w:pStyle w:val="Heading2"/>
        <w:spacing w:after="80" w:before="240"/>
      </w:pPr>
      <w:r>
        <w:rPr>
          <w:rFonts w:ascii="Arial" w:cs="Arial" w:eastAsia="Arial" w:hAnsi="Arial"/>
          <w:b/>
          <w:bCs/>
          <w:color w:val="1A7A6E"/>
          <w:sz w:val="26"/>
          <w:szCs w:val="26"/>
        </w:rPr>
        <w:t xml:space="preserve">3.1 KPI Definitions &amp;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KPI</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Definition</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Significance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Order Processing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Shipping Date minus Order Date (in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Measures actual order fulfillment duration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Delay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Processing Time minus Scheduled Days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A5A5A"/>
                <w:sz w:val="20"/>
                <w:szCs w:val="20"/>
              </w:rPr>
              <w:t xml:space="preserve">Quantifies deviation from SLA targets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Is Delayed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Binary flag: 1 if Delay &gt; 0, else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Target variable for delay rate KPIs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Profitability Flag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Profit / Loss / Break-even classification</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A5A5A"/>
                <w:sz w:val="20"/>
                <w:szCs w:val="20"/>
              </w:rPr>
              <w:t xml:space="preserve">Links financial health to logistics performance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Delayed Orders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Total Delayed Orders / Total Orders ×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Primary delay performance indicator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Loss % of Delayed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Loss from Delayed / Total Loss × 100</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A5A5A"/>
                <w:sz w:val="20"/>
                <w:szCs w:val="20"/>
              </w:rPr>
              <w:t xml:space="preserve">Isolates delay-attributed financial damage</w:t>
            </w:r>
          </w:p>
        </w:tc>
      </w:tr>
    </w:tbl>
    <w:p>
      <w:r>
        <w:br w:type="page"/>
      </w:r>
    </w:p>
    <w:p>
      <w:pPr>
        <w:pStyle w:val="Heading1"/>
        <w:spacing w:after="120" w:before="360"/>
      </w:pPr>
      <w:r>
        <w:rPr>
          <w:rFonts w:ascii="Arial" w:cs="Arial" w:eastAsia="Arial" w:hAnsi="Arial"/>
          <w:b/>
          <w:bCs/>
          <w:color w:val="1B3A5C"/>
          <w:sz w:val="32"/>
          <w:szCs w:val="32"/>
        </w:rPr>
        <w:t xml:space="preserve">4. Profitability Analysis</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Profitability was classified at the order level into three categories: Profit (Order Profit &gt; 0), Loss (Order Profit &lt; 0), and Break-even (Order Profit = 0). This segmentation enables targeted analysis of where value is being generated versus destroyed.</w:t>
      </w:r>
    </w:p>
    <w:p>
      <w:pPr>
        <w:spacing w:after="80" w:before="80"/>
      </w:pPr>
    </w:p>
    <w:p>
      <w:pPr>
        <w:pStyle w:val="Heading2"/>
        <w:spacing w:after="80" w:before="240"/>
      </w:pPr>
      <w:r>
        <w:rPr>
          <w:rFonts w:ascii="Arial" w:cs="Arial" w:eastAsia="Arial" w:hAnsi="Arial"/>
          <w:b/>
          <w:bCs/>
          <w:color w:val="1A7A6E"/>
          <w:sz w:val="26"/>
          <w:szCs w:val="26"/>
        </w:rPr>
        <w:t xml:space="preserve">4.1 Profitability Distribution</w:t>
      </w:r>
    </w:p>
    <w:p>
      <w:pPr>
        <w:spacing w:after="60" w:before="60"/>
      </w:pPr>
    </w:p>
    <w:p>
      <w:pPr>
        <w:spacing w:after="80" w:before="60"/>
      </w:pPr>
      <w:r>
        <w:rPr>
          <w:rFonts w:ascii="Arial" w:cs="Arial" w:eastAsia="Arial" w:hAnsi="Arial"/>
          <w:color w:val="5A5A5A"/>
          <w:sz w:val="22"/>
          <w:szCs w:val="22"/>
        </w:rPr>
        <w:t xml:space="preserve">The profitability distribution across the dataset reveals the following key patterns: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Estimated Share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Interpretation</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8449"/>
                <w:sz w:val="20"/>
                <w:szCs w:val="20"/>
              </w:rPr>
              <w:t xml:space="preserve">Profit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Majority of orders generate positive margins</w:t>
            </w:r>
          </w:p>
        </w:tc>
      </w:tr>
      <w:tr>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Significant loss-making transactions require urgent attention</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4A017"/>
                <w:sz w:val="20"/>
                <w:szCs w:val="20"/>
              </w:rPr>
              <w:t xml:space="preserve">Break-Even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Marginal orders with zero contribution to profit/loss</w:t>
            </w:r>
          </w:p>
        </w:tc>
      </w:tr>
    </w:tbl>
    <w:p>
      <w:pPr>
        <w:spacing w:after="100" w:before="100"/>
      </w:pPr>
    </w:p>
    <w:p>
      <w:pPr>
        <w:pStyle w:val="Heading2"/>
        <w:spacing w:after="80" w:before="240"/>
      </w:pPr>
      <w:r>
        <w:rPr>
          <w:rFonts w:ascii="Arial" w:cs="Arial" w:eastAsia="Arial" w:hAnsi="Arial"/>
          <w:b/>
          <w:bCs/>
          <w:color w:val="1A7A6E"/>
          <w:sz w:val="26"/>
          <w:szCs w:val="26"/>
        </w:rPr>
        <w:t xml:space="preserve">4.2 Delay Distribution &amp; Profit vs. Delay Days</w:t>
      </w:r>
    </w:p>
    <w:p>
      <w:pPr>
        <w:spacing w:after="60" w:before="60"/>
      </w:pPr>
    </w:p>
    <w:p>
      <w:pPr>
        <w:spacing w:after="80" w:before="60"/>
      </w:pPr>
      <w:r>
        <w:rPr>
          <w:rFonts w:ascii="Arial" w:cs="Arial" w:eastAsia="Arial" w:hAnsi="Arial"/>
          <w:color w:val="5A5A5A"/>
          <w:sz w:val="22"/>
          <w:szCs w:val="22"/>
        </w:rPr>
        <w:t xml:space="preserve">Analysis of delay distribution reveals that the majority of orders cluster around 0 to 3 delay days, with the distribution being right-skewed. The relationship between delay duration and profitability shows a consistent pattern:</w:t>
      </w:r>
    </w:p>
    <w:p>
      <w:pPr>
        <w:spacing w:after="60" w:before="60"/>
      </w:pPr>
    </w:p>
    <w:p>
      <w:pPr>
        <w:pStyle w:val="ListParagraph"/>
        <w:numPr>
          <w:ilvl w:val="0"/>
          <w:numId w:val="2"/>
        </w:numPr>
        <w:spacing w:after="40" w:before="40"/>
      </w:pPr>
      <w:r>
        <w:rPr>
          <w:rFonts w:ascii="Arial" w:cs="Arial" w:eastAsia="Arial" w:hAnsi="Arial"/>
          <w:color w:val="5A5A5A"/>
          <w:sz w:val="22"/>
          <w:szCs w:val="22"/>
        </w:rPr>
        <w:t xml:space="preserve">Orders with 0 delay days (on-time) generate the highest total profit and the most positive mean profit per order.</w:t>
      </w:r>
    </w:p>
    <w:p>
      <w:pPr>
        <w:pStyle w:val="ListParagraph"/>
        <w:numPr>
          <w:ilvl w:val="0"/>
          <w:numId w:val="2"/>
        </w:numPr>
        <w:spacing w:after="40" w:before="40"/>
      </w:pPr>
      <w:r>
        <w:rPr>
          <w:rFonts w:ascii="Arial" w:cs="Arial" w:eastAsia="Arial" w:hAnsi="Arial"/>
          <w:color w:val="5A5A5A"/>
          <w:sz w:val="22"/>
          <w:szCs w:val="22"/>
        </w:rPr>
        <w:t xml:space="preserve">As delay days increase from 1 to 4, total profit declines progressively, indicating compounding margin erosion.</w:t>
      </w:r>
    </w:p>
    <w:p>
      <w:pPr>
        <w:pStyle w:val="ListParagraph"/>
        <w:numPr>
          <w:ilvl w:val="0"/>
          <w:numId w:val="2"/>
        </w:numPr>
        <w:spacing w:after="40" w:before="40"/>
      </w:pPr>
      <w:r>
        <w:rPr>
          <w:rFonts w:ascii="Arial" w:cs="Arial" w:eastAsia="Arial" w:hAnsi="Arial"/>
          <w:color w:val="5A5A5A"/>
          <w:sz w:val="22"/>
          <w:szCs w:val="22"/>
        </w:rPr>
        <w:t xml:space="preserve">Orders with delays of 5+ days are more likely to be associated with loss-making transactions.</w:t>
      </w:r>
    </w:p>
    <w:p>
      <w:pPr>
        <w:pStyle w:val="ListParagraph"/>
        <w:numPr>
          <w:ilvl w:val="0"/>
          <w:numId w:val="2"/>
        </w:numPr>
        <w:spacing w:after="40" w:before="40"/>
      </w:pPr>
      <w:r>
        <w:rPr>
          <w:rFonts w:ascii="Arial" w:cs="Arial" w:eastAsia="Arial" w:hAnsi="Arial"/>
          <w:color w:val="5A5A5A"/>
          <w:sz w:val="22"/>
          <w:szCs w:val="22"/>
        </w:rPr>
        <w:t xml:space="preserve">The 90th percentile of delays stands at approximately 4 days, meaning 10% of delayed orders exceed this threshold — representing the highest-risk segment.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8"/>
              <w:bottom w:val="none" w:color="FFFFFF" w:sz="0"/>
              <w:right w:val="none" w:color="FFFFFF" w:sz="0"/>
            </w:tcBorders>
            <w:shd w:fill="E8F4F8" w:val="clear"/>
            <w:tcMar>
              <w:top w:type="dxa" w:w="120"/>
              <w:left w:type="dxa" w:w="180"/>
              <w:bottom w:type="dxa" w:w="120"/>
              <w:right w:type="dxa" w:w="120"/>
            </w:tcMar>
          </w:tcPr>
          <w:p>
            <w:pPr>
              <w:spacing w:after="60" w:before="40"/>
            </w:pPr>
            <w:r>
              <w:rPr>
                <w:rFonts w:ascii="Arial" w:cs="Arial" w:eastAsia="Arial" w:hAnsi="Arial"/>
                <w:b/>
                <w:bCs/>
                <w:color w:val="1B3A5C"/>
                <w:sz w:val="22"/>
                <w:szCs w:val="22"/>
              </w:rPr>
              <w:t xml:space="preserve">Key Insight: Delay-Profitability Nexus</w:t>
            </w:r>
          </w:p>
          <w:p>
            <w:pPr>
              <w:pStyle w:val="ListParagraph"/>
              <w:numPr>
                <w:ilvl w:val="0"/>
                <w:numId w:val="2"/>
              </w:numPr>
              <w:spacing w:after="30" w:before="30"/>
            </w:pPr>
            <w:r>
              <w:rPr>
                <w:rFonts w:ascii="Arial" w:cs="Arial" w:eastAsia="Arial" w:hAnsi="Arial"/>
                <w:color w:val="5A5A5A"/>
                <w:sz w:val="20"/>
                <w:szCs w:val="20"/>
              </w:rPr>
              <w:t xml:space="preserve">There is a statistically meaningful inverse relationship between delay duration and profitability.</w:t>
            </w:r>
          </w:p>
          <w:p>
            <w:pPr>
              <w:pStyle w:val="ListParagraph"/>
              <w:numPr>
                <w:ilvl w:val="0"/>
                <w:numId w:val="2"/>
              </w:numPr>
              <w:spacing w:after="30" w:before="30"/>
            </w:pPr>
            <w:r>
              <w:rPr>
                <w:rFonts w:ascii="Arial" w:cs="Arial" w:eastAsia="Arial" w:hAnsi="Arial"/>
                <w:color w:val="5A5A5A"/>
                <w:sz w:val="20"/>
                <w:szCs w:val="20"/>
              </w:rPr>
              <w:t xml:space="preserve">Reducing average delay from 2.1 to 1.0 day could unlock substantial additional profit recovery.</w:t>
            </w:r>
          </w:p>
          <w:p>
            <w:pPr>
              <w:pStyle w:val="ListParagraph"/>
              <w:numPr>
                <w:ilvl w:val="0"/>
                <w:numId w:val="2"/>
              </w:numPr>
              <w:spacing w:after="30" w:before="30"/>
            </w:pPr>
            <w:r>
              <w:rPr>
                <w:rFonts w:ascii="Arial" w:cs="Arial" w:eastAsia="Arial" w:hAnsi="Arial"/>
                <w:color w:val="5A5A5A"/>
                <w:sz w:val="20"/>
                <w:szCs w:val="20"/>
              </w:rPr>
              <w:t xml:space="preserve">Delayed orders collectively account for over 53% of the total recorded financial losses.</w:t>
            </w:r>
          </w:p>
        </w:tc>
      </w:tr>
    </w:tbl>
    <w:p>
      <w:r>
        <w:br w:type="page"/>
      </w:r>
    </w:p>
    <w:p>
      <w:pPr>
        <w:pStyle w:val="Heading1"/>
        <w:spacing w:after="120" w:before="360"/>
      </w:pPr>
      <w:r>
        <w:rPr>
          <w:rFonts w:ascii="Arial" w:cs="Arial" w:eastAsia="Arial" w:hAnsi="Arial"/>
          <w:b/>
          <w:bCs/>
          <w:color w:val="1B3A5C"/>
          <w:sz w:val="32"/>
          <w:szCs w:val="32"/>
        </w:rPr>
        <w:t xml:space="preserve">5. Bottleneck Detection</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Bottleneck detection was performed by calculating the delay percentage across six categorical dimensions. The analysis identifies which segments are systematically underperforming on delivery timelines.</w:t>
      </w:r>
    </w:p>
    <w:p>
      <w:pPr>
        <w:spacing w:after="80" w:before="80"/>
      </w:pPr>
    </w:p>
    <w:p>
      <w:pPr>
        <w:pStyle w:val="Heading2"/>
        <w:spacing w:after="80" w:before="240"/>
      </w:pPr>
      <w:r>
        <w:rPr>
          <w:rFonts w:ascii="Arial" w:cs="Arial" w:eastAsia="Arial" w:hAnsi="Arial"/>
          <w:b/>
          <w:bCs/>
          <w:color w:val="1A7A6E"/>
          <w:sz w:val="26"/>
          <w:szCs w:val="26"/>
        </w:rPr>
        <w:t xml:space="preserve">5.1 Delay Rate by Category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Highest-Delay Segment</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Approx. Delay Rate</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Implication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Order Region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Central Africa, Western Africa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60–65%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Regional logistics infrastructure gaps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Customer Segment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Consumer, Corporate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55–58%</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A5A5A"/>
                <w:sz w:val="20"/>
                <w:szCs w:val="20"/>
              </w:rPr>
              <w:t xml:space="preserve">High-volume segments with strained fulfillment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Shipping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Standard Class, First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58–62%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Premium modes underdelivering on speed promises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Order 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Late Delivery, Advance Shipping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Up to 100%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A5A5A"/>
                <w:sz w:val="20"/>
                <w:szCs w:val="20"/>
              </w:rPr>
              <w:t xml:space="preserve">Late delivery status confirms systemic fulfillment failures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Payment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Debit, Transfer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54–57%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Payment method correlates with order risk profile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Department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Fan Shop, Apparel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55–60%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A5A5A"/>
                <w:sz w:val="20"/>
                <w:szCs w:val="20"/>
              </w:rPr>
              <w:t xml:space="preserve">Category-specific supply chain stress points</w:t>
            </w:r>
          </w:p>
        </w:tc>
      </w:tr>
    </w:tbl>
    <w:p>
      <w:pPr>
        <w:spacing w:after="100" w:before="100"/>
      </w:pPr>
    </w:p>
    <w:p>
      <w:pPr>
        <w:pStyle w:val="Heading2"/>
        <w:spacing w:after="80" w:before="240"/>
      </w:pPr>
      <w:r>
        <w:rPr>
          <w:rFonts w:ascii="Arial" w:cs="Arial" w:eastAsia="Arial" w:hAnsi="Arial"/>
          <w:b/>
          <w:bCs/>
          <w:color w:val="1A7A6E"/>
          <w:sz w:val="26"/>
          <w:szCs w:val="26"/>
        </w:rPr>
        <w:t xml:space="preserve">5.2 Critical Bottleneck Observations</w:t>
      </w:r>
    </w:p>
    <w:p>
      <w:pPr>
        <w:pStyle w:val="ListParagraph"/>
        <w:numPr>
          <w:ilvl w:val="0"/>
          <w:numId w:val="2"/>
        </w:numPr>
        <w:spacing w:after="40" w:before="40"/>
      </w:pPr>
      <w:r>
        <w:rPr>
          <w:rFonts w:ascii="Arial" w:cs="Arial" w:eastAsia="Arial" w:hAnsi="Arial"/>
          <w:color w:val="5A5A5A"/>
          <w:sz w:val="22"/>
          <w:szCs w:val="22"/>
        </w:rPr>
        <w:t xml:space="preserve">Standard Class Shipping dominates order volume but has one of the highest delay rates — a systemic capacity problem rather than an anomaly.</w:t>
      </w:r>
    </w:p>
    <w:p>
      <w:pPr>
        <w:pStyle w:val="ListParagraph"/>
        <w:numPr>
          <w:ilvl w:val="0"/>
          <w:numId w:val="2"/>
        </w:numPr>
        <w:spacing w:after="40" w:before="40"/>
      </w:pPr>
      <w:r>
        <w:rPr>
          <w:rFonts w:ascii="Arial" w:cs="Arial" w:eastAsia="Arial" w:hAnsi="Arial"/>
          <w:color w:val="5A5A5A"/>
          <w:sz w:val="22"/>
          <w:szCs w:val="22"/>
        </w:rPr>
        <w:t xml:space="preserve">African regions (Central and Western Africa) consistently rank among the top delay-prone areas, pointing to last-mile delivery challenges and infrastructure constraints.</w:t>
      </w:r>
    </w:p>
    <w:p>
      <w:pPr>
        <w:pStyle w:val="ListParagraph"/>
        <w:numPr>
          <w:ilvl w:val="0"/>
          <w:numId w:val="2"/>
        </w:numPr>
        <w:spacing w:after="40" w:before="40"/>
      </w:pPr>
      <w:r>
        <w:rPr>
          <w:rFonts w:ascii="Arial" w:cs="Arial" w:eastAsia="Arial" w:hAnsi="Arial"/>
          <w:color w:val="5A5A5A"/>
          <w:sz w:val="22"/>
          <w:szCs w:val="22"/>
        </w:rPr>
        <w:t xml:space="preserve">Consumer and Corporate segments, being the largest customer categories, are most exposed to delay risks, amplifying the business impact.</w:t>
      </w:r>
    </w:p>
    <w:p>
      <w:pPr>
        <w:pStyle w:val="ListParagraph"/>
        <w:numPr>
          <w:ilvl w:val="0"/>
          <w:numId w:val="2"/>
        </w:numPr>
        <w:spacing w:after="40" w:before="40"/>
      </w:pPr>
      <w:r>
        <w:rPr>
          <w:rFonts w:ascii="Arial" w:cs="Arial" w:eastAsia="Arial" w:hAnsi="Arial"/>
          <w:color w:val="5A5A5A"/>
          <w:sz w:val="22"/>
          <w:szCs w:val="22"/>
        </w:rPr>
        <w:t xml:space="preserve">Fan Shop and Apparel departments likely experience seasonal demand spikes that strain their supply networks.</w:t>
      </w:r>
    </w:p>
    <w:p>
      <w:pPr>
        <w:pStyle w:val="ListParagraph"/>
        <w:numPr>
          <w:ilvl w:val="0"/>
          <w:numId w:val="2"/>
        </w:numPr>
        <w:spacing w:after="40" w:before="40"/>
      </w:pPr>
      <w:r>
        <w:rPr>
          <w:rFonts w:ascii="Arial" w:cs="Arial" w:eastAsia="Arial" w:hAnsi="Arial"/>
          <w:color w:val="5A5A5A"/>
          <w:sz w:val="22"/>
          <w:szCs w:val="22"/>
        </w:rPr>
        <w:t xml:space="preserve">Orders with 'Advance Shipping' and 'Shipping on Time' statuses show near-zero delays, validating these as best-practice benchmarks.</w:t>
      </w:r>
    </w:p>
    <w:p>
      <w:r>
        <w:br w:type="page"/>
      </w:r>
    </w:p>
    <w:p>
      <w:pPr>
        <w:pStyle w:val="Heading1"/>
        <w:spacing w:after="120" w:before="360"/>
      </w:pPr>
      <w:r>
        <w:rPr>
          <w:rFonts w:ascii="Arial" w:cs="Arial" w:eastAsia="Arial" w:hAnsi="Arial"/>
          <w:b/>
          <w:bCs/>
          <w:color w:val="1B3A5C"/>
          <w:sz w:val="32"/>
          <w:szCs w:val="32"/>
        </w:rPr>
        <w:t xml:space="preserve">6. Root Cause Analysis</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Root cause analysis drills into region-specific delay drivers, examining the intersection of shipping mode, customer segment, department, payment type, and order status within each geographic market. The analysis was demonstrated for Central Africa as a case study.</w:t>
      </w:r>
    </w:p>
    <w:p>
      <w:pPr>
        <w:spacing w:after="80" w:before="80"/>
      </w:pPr>
    </w:p>
    <w:p>
      <w:pPr>
        <w:pStyle w:val="Heading2"/>
        <w:spacing w:after="80" w:before="240"/>
      </w:pPr>
      <w:r>
        <w:rPr>
          <w:rFonts w:ascii="Arial" w:cs="Arial" w:eastAsia="Arial" w:hAnsi="Arial"/>
          <w:b/>
          <w:bCs/>
          <w:color w:val="1A7A6E"/>
          <w:sz w:val="26"/>
          <w:szCs w:val="26"/>
        </w:rPr>
        <w:t xml:space="preserve">6.1 Methodology</w:t>
      </w:r>
    </w:p>
    <w:p>
      <w:pPr>
        <w:spacing w:after="80" w:before="60"/>
      </w:pPr>
      <w:r>
        <w:rPr>
          <w:rFonts w:ascii="Arial" w:cs="Arial" w:eastAsia="Arial" w:hAnsi="Arial"/>
          <w:color w:val="5A5A5A"/>
          <w:sz w:val="22"/>
          <w:szCs w:val="22"/>
        </w:rPr>
        <w:t xml:space="preserve">For each region, the analysis computes delay percentage for every level of five driver dimensions: Shipping Mode, Customer Segment, Department Name, Payment Type (Type), and Order Status. The top 10 factor-level combinations by delay percentage are ranked and visualized, enabling operations teams to prioritize targeted interventions.</w:t>
      </w:r>
    </w:p>
    <w:p>
      <w:pPr>
        <w:spacing w:after="80" w:before="80"/>
      </w:pPr>
    </w:p>
    <w:p>
      <w:pPr>
        <w:pStyle w:val="Heading2"/>
        <w:spacing w:after="80" w:before="240"/>
      </w:pPr>
      <w:r>
        <w:rPr>
          <w:rFonts w:ascii="Arial" w:cs="Arial" w:eastAsia="Arial" w:hAnsi="Arial"/>
          <w:b/>
          <w:bCs/>
          <w:color w:val="1A7A6E"/>
          <w:sz w:val="26"/>
          <w:szCs w:val="26"/>
        </w:rPr>
        <w:t xml:space="preserve">6.2 Case Study: Central Africa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Driver Factor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Top Contributing Level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Delay 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Shipping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Standard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~65%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Customer Segment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Consumer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~62%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Department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Fan Shop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~60%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Payment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Debit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~58%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Order 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Late Delivery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~100% (by definition)</w:t>
            </w:r>
          </w:p>
        </w:tc>
      </w:tr>
    </w:tbl>
    <w:p>
      <w:pPr>
        <w:spacing w:after="80" w:before="80"/>
      </w:pPr>
    </w:p>
    <w:p>
      <w:pPr>
        <w:spacing w:after="80" w:before="60"/>
      </w:pPr>
      <w:r>
        <w:rPr>
          <w:rFonts w:ascii="Arial" w:cs="Arial" w:eastAsia="Arial" w:hAnsi="Arial"/>
          <w:color w:val="5A5A5A"/>
          <w:sz w:val="22"/>
          <w:szCs w:val="22"/>
        </w:rPr>
        <w:t xml:space="preserve">The Central Africa case study illustrates that delay drivers are multidimensional — a single order may be high-risk due to its combination of Standard Class shipping, Consumer segment, and Fan Shop department. This interaction effect underscores the need for a holistic predictive approach rather than addressing each dimension in isolation.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8"/>
              <w:bottom w:val="none" w:color="FFFFFF" w:sz="0"/>
              <w:right w:val="none" w:color="FFFFFF" w:sz="0"/>
            </w:tcBorders>
            <w:shd w:fill="F0F7F4" w:val="clear"/>
            <w:tcMar>
              <w:top w:type="dxa" w:w="120"/>
              <w:left w:type="dxa" w:w="180"/>
              <w:bottom w:type="dxa" w:w="120"/>
              <w:right w:type="dxa" w:w="120"/>
            </w:tcMar>
          </w:tcPr>
          <w:p>
            <w:pPr>
              <w:spacing w:after="60" w:before="40"/>
            </w:pPr>
            <w:r>
              <w:rPr>
                <w:rFonts w:ascii="Arial" w:cs="Arial" w:eastAsia="Arial" w:hAnsi="Arial"/>
                <w:b/>
                <w:bCs/>
                <w:color w:val="1B3A5C"/>
                <w:sz w:val="22"/>
                <w:szCs w:val="22"/>
              </w:rPr>
              <w:t xml:space="preserve">Root Cause Summary</w:t>
            </w:r>
          </w:p>
          <w:p>
            <w:pPr>
              <w:pStyle w:val="ListParagraph"/>
              <w:numPr>
                <w:ilvl w:val="0"/>
                <w:numId w:val="2"/>
              </w:numPr>
              <w:spacing w:after="30" w:before="30"/>
            </w:pPr>
            <w:r>
              <w:rPr>
                <w:rFonts w:ascii="Arial" w:cs="Arial" w:eastAsia="Arial" w:hAnsi="Arial"/>
                <w:color w:val="5A5A5A"/>
                <w:sz w:val="20"/>
                <w:szCs w:val="20"/>
              </w:rPr>
              <w:t xml:space="preserve">First-mile delays: High inbound transit times for Standard and First Class modes in emerging market regions.</w:t>
            </w:r>
          </w:p>
          <w:p>
            <w:pPr>
              <w:pStyle w:val="ListParagraph"/>
              <w:numPr>
                <w:ilvl w:val="0"/>
                <w:numId w:val="2"/>
              </w:numPr>
              <w:spacing w:after="30" w:before="30"/>
            </w:pPr>
            <w:r>
              <w:rPr>
                <w:rFonts w:ascii="Arial" w:cs="Arial" w:eastAsia="Arial" w:hAnsi="Arial"/>
                <w:color w:val="5A5A5A"/>
                <w:sz w:val="20"/>
                <w:szCs w:val="20"/>
              </w:rPr>
              <w:t xml:space="preserve">Capacity mismatch: High consumer order volumes in regions with underdeveloped fulfillment infrastructure.</w:t>
            </w:r>
          </w:p>
          <w:p>
            <w:pPr>
              <w:pStyle w:val="ListParagraph"/>
              <w:numPr>
                <w:ilvl w:val="0"/>
                <w:numId w:val="2"/>
              </w:numPr>
              <w:spacing w:after="30" w:before="30"/>
            </w:pPr>
            <w:r>
              <w:rPr>
                <w:rFonts w:ascii="Arial" w:cs="Arial" w:eastAsia="Arial" w:hAnsi="Arial"/>
                <w:color w:val="5A5A5A"/>
                <w:sz w:val="20"/>
                <w:szCs w:val="20"/>
              </w:rPr>
              <w:t xml:space="preserve">Product complexity: Fan Shop and Apparel products involve multi-location sourcing that extends processing time.</w:t>
            </w:r>
          </w:p>
          <w:p>
            <w:pPr>
              <w:pStyle w:val="ListParagraph"/>
              <w:numPr>
                <w:ilvl w:val="0"/>
                <w:numId w:val="2"/>
              </w:numPr>
              <w:spacing w:after="30" w:before="30"/>
            </w:pPr>
            <w:r>
              <w:rPr>
                <w:rFonts w:ascii="Arial" w:cs="Arial" w:eastAsia="Arial" w:hAnsi="Arial"/>
                <w:color w:val="5A5A5A"/>
                <w:sz w:val="20"/>
                <w:szCs w:val="20"/>
              </w:rPr>
              <w:t xml:space="preserve">Systemic vs. Random: Most delays are systemic (predictable by order attributes) rather than random events.</w:t>
            </w:r>
          </w:p>
        </w:tc>
      </w:tr>
    </w:tbl>
    <w:p>
      <w:r>
        <w:br w:type="page"/>
      </w:r>
    </w:p>
    <w:p>
      <w:pPr>
        <w:pStyle w:val="Heading1"/>
        <w:spacing w:after="120" w:before="360"/>
      </w:pPr>
      <w:r>
        <w:rPr>
          <w:rFonts w:ascii="Arial" w:cs="Arial" w:eastAsia="Arial" w:hAnsi="Arial"/>
          <w:b/>
          <w:bCs/>
          <w:color w:val="1B3A5C"/>
          <w:sz w:val="32"/>
          <w:szCs w:val="32"/>
        </w:rPr>
        <w:t xml:space="preserve">7. Time-Based Delay Patterns</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Temporal analysis examines whether delay rates vary systematically by month, day of week, and hour of order placement. Understanding these patterns enables dynamic operational adjustments in staffing, logistics partnerships, and order throttling.</w:t>
      </w:r>
    </w:p>
    <w:p>
      <w:pPr>
        <w:spacing w:after="80" w:before="80"/>
      </w:pPr>
    </w:p>
    <w:p>
      <w:pPr>
        <w:pStyle w:val="Heading2"/>
        <w:spacing w:after="80" w:before="240"/>
      </w:pPr>
      <w:r>
        <w:rPr>
          <w:rFonts w:ascii="Arial" w:cs="Arial" w:eastAsia="Arial" w:hAnsi="Arial"/>
          <w:b/>
          <w:bCs/>
          <w:color w:val="1A7A6E"/>
          <w:sz w:val="26"/>
          <w:szCs w:val="26"/>
        </w:rPr>
        <w:t xml:space="preserve">7.1 Monthly Delay Trends</w:t>
      </w:r>
    </w:p>
    <w:p>
      <w:pPr>
        <w:spacing w:after="80" w:before="60"/>
      </w:pPr>
      <w:r>
        <w:rPr>
          <w:rFonts w:ascii="Arial" w:cs="Arial" w:eastAsia="Arial" w:hAnsi="Arial"/>
          <w:color w:val="5A5A5A"/>
          <w:sz w:val="22"/>
          <w:szCs w:val="22"/>
        </w:rPr>
        <w:t xml:space="preserve">Delay rates vary by calendar month, reflecting seasonal demand patterns, holiday surges, and supplier lead time fluctuations. Mid-year months (May through August) tend to experience elevated delay rates, likely driven by:</w:t>
      </w:r>
    </w:p>
    <w:p>
      <w:pPr>
        <w:pStyle w:val="ListParagraph"/>
        <w:numPr>
          <w:ilvl w:val="0"/>
          <w:numId w:val="2"/>
        </w:numPr>
        <w:spacing w:after="40" w:before="40"/>
      </w:pPr>
      <w:r>
        <w:rPr>
          <w:rFonts w:ascii="Arial" w:cs="Arial" w:eastAsia="Arial" w:hAnsi="Arial"/>
          <w:color w:val="5A5A5A"/>
          <w:sz w:val="22"/>
          <w:szCs w:val="22"/>
        </w:rPr>
        <w:t xml:space="preserve">Peak order volumes during summer retail seasons, straining warehouse and carrier capacity.</w:t>
      </w:r>
    </w:p>
    <w:p>
      <w:pPr>
        <w:pStyle w:val="ListParagraph"/>
        <w:numPr>
          <w:ilvl w:val="0"/>
          <w:numId w:val="2"/>
        </w:numPr>
        <w:spacing w:after="40" w:before="40"/>
      </w:pPr>
      <w:r>
        <w:rPr>
          <w:rFonts w:ascii="Arial" w:cs="Arial" w:eastAsia="Arial" w:hAnsi="Arial"/>
          <w:color w:val="5A5A5A"/>
          <w:sz w:val="22"/>
          <w:szCs w:val="22"/>
        </w:rPr>
        <w:t xml:space="preserve">Higher ambient temperatures affecting perishable and temperature-sensitive product handling.</w:t>
      </w:r>
    </w:p>
    <w:p>
      <w:pPr>
        <w:pStyle w:val="ListParagraph"/>
        <w:numPr>
          <w:ilvl w:val="0"/>
          <w:numId w:val="2"/>
        </w:numPr>
        <w:spacing w:after="40" w:before="40"/>
      </w:pPr>
      <w:r>
        <w:rPr>
          <w:rFonts w:ascii="Arial" w:cs="Arial" w:eastAsia="Arial" w:hAnsi="Arial"/>
          <w:color w:val="5A5A5A"/>
          <w:sz w:val="22"/>
          <w:szCs w:val="22"/>
        </w:rPr>
        <w:t xml:space="preserve">Vacation-driven staffing reductions at fulfillment centers during summer months.</w:t>
      </w:r>
    </w:p>
    <w:p>
      <w:pPr>
        <w:spacing w:after="60" w:before="60"/>
      </w:pPr>
    </w:p>
    <w:p>
      <w:pPr>
        <w:pStyle w:val="Heading2"/>
        <w:spacing w:after="80" w:before="240"/>
      </w:pPr>
      <w:r>
        <w:rPr>
          <w:rFonts w:ascii="Arial" w:cs="Arial" w:eastAsia="Arial" w:hAnsi="Arial"/>
          <w:b/>
          <w:bCs/>
          <w:color w:val="1A7A6E"/>
          <w:sz w:val="26"/>
          <w:szCs w:val="26"/>
        </w:rPr>
        <w:t xml:space="preserve">7.2 Day-of-Week Delay Analysis</w:t>
      </w:r>
    </w:p>
    <w:p>
      <w:pPr>
        <w:spacing w:after="80" w:before="60"/>
      </w:pPr>
      <w:r>
        <w:rPr>
          <w:rFonts w:ascii="Arial" w:cs="Arial" w:eastAsia="Arial" w:hAnsi="Arial"/>
          <w:color w:val="5A5A5A"/>
          <w:sz w:val="22"/>
          <w:szCs w:val="22"/>
        </w:rPr>
        <w:t xml:space="preserve">Orders placed at the beginning of the week (Monday–Tuesday) and end of the week (Friday) exhibit higher delay rates compared to mid-week orders. This pattern can be attributed to:</w:t>
      </w:r>
    </w:p>
    <w:p>
      <w:pPr>
        <w:pStyle w:val="ListParagraph"/>
        <w:numPr>
          <w:ilvl w:val="0"/>
          <w:numId w:val="2"/>
        </w:numPr>
        <w:spacing w:after="40" w:before="40"/>
      </w:pPr>
      <w:r>
        <w:rPr>
          <w:rFonts w:ascii="Arial" w:cs="Arial" w:eastAsia="Arial" w:hAnsi="Arial"/>
          <w:color w:val="5A5A5A"/>
          <w:sz w:val="22"/>
          <w:szCs w:val="22"/>
        </w:rPr>
        <w:t xml:space="preserve">Monday order surges following weekend browsing behavior, overwhelming processing queues.</w:t>
      </w:r>
    </w:p>
    <w:p>
      <w:pPr>
        <w:pStyle w:val="ListParagraph"/>
        <w:numPr>
          <w:ilvl w:val="0"/>
          <w:numId w:val="2"/>
        </w:numPr>
        <w:spacing w:after="40" w:before="40"/>
      </w:pPr>
      <w:r>
        <w:rPr>
          <w:rFonts w:ascii="Arial" w:cs="Arial" w:eastAsia="Arial" w:hAnsi="Arial"/>
          <w:color w:val="5A5A5A"/>
          <w:sz w:val="22"/>
          <w:szCs w:val="22"/>
        </w:rPr>
        <w:t xml:space="preserve">Friday orders missing same-day processing cutoffs, rolling into Monday fulfillment cycles.</w:t>
      </w:r>
    </w:p>
    <w:p>
      <w:pPr>
        <w:pStyle w:val="ListParagraph"/>
        <w:numPr>
          <w:ilvl w:val="0"/>
          <w:numId w:val="2"/>
        </w:numPr>
        <w:spacing w:after="40" w:before="40"/>
      </w:pPr>
      <w:r>
        <w:rPr>
          <w:rFonts w:ascii="Arial" w:cs="Arial" w:eastAsia="Arial" w:hAnsi="Arial"/>
          <w:color w:val="5A5A5A"/>
          <w:sz w:val="22"/>
          <w:szCs w:val="22"/>
        </w:rPr>
        <w:t xml:space="preserve">Weekend staffing reductions delaying Saturday and Sunday order intake processing.</w:t>
      </w:r>
    </w:p>
    <w:p>
      <w:pPr>
        <w:spacing w:after="60" w:before="60"/>
      </w:pPr>
    </w:p>
    <w:p>
      <w:pPr>
        <w:pStyle w:val="Heading2"/>
        <w:spacing w:after="80" w:before="240"/>
      </w:pPr>
      <w:r>
        <w:rPr>
          <w:rFonts w:ascii="Arial" w:cs="Arial" w:eastAsia="Arial" w:hAnsi="Arial"/>
          <w:b/>
          <w:bCs/>
          <w:color w:val="1A7A6E"/>
          <w:sz w:val="26"/>
          <w:szCs w:val="26"/>
        </w:rPr>
        <w:t xml:space="preserve">7.3 Hourly Order Placement Analysis</w:t>
      </w:r>
    </w:p>
    <w:p>
      <w:pPr>
        <w:spacing w:after="80" w:before="60"/>
      </w:pPr>
      <w:r>
        <w:rPr>
          <w:rFonts w:ascii="Arial" w:cs="Arial" w:eastAsia="Arial" w:hAnsi="Arial"/>
          <w:color w:val="5A5A5A"/>
          <w:sz w:val="22"/>
          <w:szCs w:val="22"/>
        </w:rPr>
        <w:t xml:space="preserve">Hour-of-day analysis reveals that orders placed during late-night and early-morning windows (10 PM – 2 AM) have higher delay rates than standard business hours. Peak delay hours suggest:</w:t>
      </w:r>
    </w:p>
    <w:p>
      <w:pPr>
        <w:pStyle w:val="ListParagraph"/>
        <w:numPr>
          <w:ilvl w:val="0"/>
          <w:numId w:val="2"/>
        </w:numPr>
        <w:spacing w:after="40" w:before="40"/>
      </w:pPr>
      <w:r>
        <w:rPr>
          <w:rFonts w:ascii="Arial" w:cs="Arial" w:eastAsia="Arial" w:hAnsi="Arial"/>
          <w:color w:val="5A5A5A"/>
          <w:sz w:val="22"/>
          <w:szCs w:val="22"/>
        </w:rPr>
        <w:t xml:space="preserve">Orders placed outside business hours miss same-day warehouse processing cutoffs.</w:t>
      </w:r>
    </w:p>
    <w:p>
      <w:pPr>
        <w:pStyle w:val="ListParagraph"/>
        <w:numPr>
          <w:ilvl w:val="0"/>
          <w:numId w:val="2"/>
        </w:numPr>
        <w:spacing w:after="40" w:before="40"/>
      </w:pPr>
      <w:r>
        <w:rPr>
          <w:rFonts w:ascii="Arial" w:cs="Arial" w:eastAsia="Arial" w:hAnsi="Arial"/>
          <w:color w:val="5A5A5A"/>
          <w:sz w:val="22"/>
          <w:szCs w:val="22"/>
        </w:rPr>
        <w:t xml:space="preserve">Carrier pickup windows are structured around business-hour fulfillment completion.</w:t>
      </w:r>
    </w:p>
    <w:p>
      <w:pPr>
        <w:pStyle w:val="ListParagraph"/>
        <w:numPr>
          <w:ilvl w:val="0"/>
          <w:numId w:val="2"/>
        </w:numPr>
        <w:spacing w:after="40" w:before="40"/>
      </w:pPr>
      <w:r>
        <w:rPr>
          <w:rFonts w:ascii="Arial" w:cs="Arial" w:eastAsia="Arial" w:hAnsi="Arial"/>
          <w:color w:val="5A5A5A"/>
          <w:sz w:val="22"/>
          <w:szCs w:val="22"/>
        </w:rPr>
        <w:t xml:space="preserve">Automated order routing systems may queue overnight orders for next-business-day dispatch.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 Dimension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High-Risk Window</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Recommended 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Monthly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May, June, July, August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Pre-scale carrier contracts, add temp fulfillment staff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Day of Week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Monday, Friday, Saturday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Prioritize Monday queue processing, extend Friday cutoffs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Hour of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10 PM – 2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Implement next-day expedite flags for overnight orders</w:t>
            </w:r>
          </w:p>
        </w:tc>
      </w:tr>
    </w:tbl>
    <w:p>
      <w:r>
        <w:br w:type="page"/>
      </w:r>
    </w:p>
    <w:p>
      <w:pPr>
        <w:pStyle w:val="Heading1"/>
        <w:spacing w:after="120" w:before="360"/>
      </w:pPr>
      <w:r>
        <w:rPr>
          <w:rFonts w:ascii="Arial" w:cs="Arial" w:eastAsia="Arial" w:hAnsi="Arial"/>
          <w:b/>
          <w:bCs/>
          <w:color w:val="1B3A5C"/>
          <w:sz w:val="32"/>
          <w:szCs w:val="32"/>
        </w:rPr>
        <w:t xml:space="preserve">8. Machine Learning Model Results</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Three machine learning models were trained to predict the Late Delivery Risk flag (binary classification: 0 = No Risk, 1 = Risk) using order-level features. The models were evaluated on a held-out test set (20% of data) after addressing class imbalance through SMOTE oversampling.</w:t>
      </w:r>
    </w:p>
    <w:p>
      <w:pPr>
        <w:spacing w:after="80" w:before="80"/>
      </w:pPr>
    </w:p>
    <w:p>
      <w:pPr>
        <w:pStyle w:val="Heading2"/>
        <w:spacing w:after="80" w:before="240"/>
      </w:pPr>
      <w:r>
        <w:rPr>
          <w:rFonts w:ascii="Arial" w:cs="Arial" w:eastAsia="Arial" w:hAnsi="Arial"/>
          <w:b/>
          <w:bCs/>
          <w:color w:val="1A7A6E"/>
          <w:sz w:val="26"/>
          <w:szCs w:val="26"/>
        </w:rPr>
        <w:t xml:space="preserve">8.1 Feature Engineering for ML</w:t>
      </w:r>
    </w:p>
    <w:p>
      <w:pPr>
        <w:spacing w:after="80" w:before="60"/>
      </w:pPr>
      <w:r>
        <w:rPr>
          <w:rFonts w:ascii="Arial" w:cs="Arial" w:eastAsia="Arial" w:hAnsi="Arial"/>
          <w:color w:val="5A5A5A"/>
          <w:sz w:val="22"/>
          <w:szCs w:val="22"/>
        </w:rPr>
        <w:t xml:space="preserve">The following input features were selected based on domain relevance and data availability at order placement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Payment Type (Type)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Frequency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Days for Shipment (Scheduled)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Used as-is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Category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Frequency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Customer Segment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Frequency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Department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Frequency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Order Region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Frequency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Shipping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Frequency Encoding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Order 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Derived from order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Order Hour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Derived from order timestamp</w:t>
            </w:r>
          </w:p>
        </w:tc>
      </w:tr>
    </w:tbl>
    <w:p>
      <w:pPr>
        <w:spacing w:after="80" w:before="80"/>
      </w:pPr>
    </w:p>
    <w:p>
      <w:pPr>
        <w:pStyle w:val="Heading2"/>
        <w:spacing w:after="80" w:before="240"/>
      </w:pPr>
      <w:r>
        <w:rPr>
          <w:rFonts w:ascii="Arial" w:cs="Arial" w:eastAsia="Arial" w:hAnsi="Arial"/>
          <w:b/>
          <w:bCs/>
          <w:color w:val="1A7A6E"/>
          <w:sz w:val="26"/>
          <w:szCs w:val="26"/>
        </w:rPr>
        <w:t xml:space="preserve">8.2 Class Imbalance &amp; SMOTE</w:t>
      </w:r>
    </w:p>
    <w:p>
      <w:pPr>
        <w:spacing w:after="80" w:before="60"/>
      </w:pPr>
      <w:r>
        <w:rPr>
          <w:rFonts w:ascii="Arial" w:cs="Arial" w:eastAsia="Arial" w:hAnsi="Arial"/>
          <w:color w:val="5A5A5A"/>
          <w:sz w:val="22"/>
          <w:szCs w:val="22"/>
        </w:rPr>
        <w:t xml:space="preserve">The target variable (Late_delivery_risk) was imbalanced. SMOTE (Synthetic Minority Oversampling Technique) was applied to the training set to generate synthetic minority-class samples, ensuring models were not biased toward predicting the majority class. Only the training set was resampled; the test set remained at natural class proportions to preserve realistic evaluation conditions.</w:t>
      </w:r>
    </w:p>
    <w:p>
      <w:pPr>
        <w:spacing w:after="80" w:before="80"/>
      </w:pPr>
    </w:p>
    <w:p>
      <w:pPr>
        <w:pStyle w:val="Heading2"/>
        <w:spacing w:after="80" w:before="240"/>
      </w:pPr>
      <w:r>
        <w:rPr>
          <w:rFonts w:ascii="Arial" w:cs="Arial" w:eastAsia="Arial" w:hAnsi="Arial"/>
          <w:b/>
          <w:bCs/>
          <w:color w:val="1A7A6E"/>
          <w:sz w:val="26"/>
          <w:szCs w:val="26"/>
        </w:rPr>
        <w:t xml:space="preserve">8.3 Model Performance Comparison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22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Model</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Accuracy</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Precision</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Recall</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Recommendation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Logistic Regression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~68%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~0.66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~0.70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Baseline — use for interpretability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8449"/>
                <w:sz w:val="20"/>
                <w:szCs w:val="20"/>
              </w:rPr>
              <w:t xml:space="preserve">XGBoost</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8449"/>
                <w:sz w:val="20"/>
                <w:szCs w:val="20"/>
              </w:rPr>
              <w:t xml:space="preserve">~83%</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8449"/>
                <w:sz w:val="20"/>
                <w:szCs w:val="20"/>
              </w:rPr>
              <w:t xml:space="preserve">~0.82</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8449"/>
                <w:sz w:val="20"/>
                <w:szCs w:val="20"/>
              </w:rPr>
              <w:t xml:space="preserve">~0.84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RECOMMENDED for deployment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Random Forest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~81%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~0.80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~0.82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A5A5A"/>
                <w:sz w:val="20"/>
                <w:szCs w:val="20"/>
              </w:rPr>
              <w:t xml:space="preserve">Strong alternative with good interpretability</w:t>
            </w:r>
          </w:p>
        </w:tc>
      </w:tr>
    </w:tbl>
    <w:p>
      <w:pPr>
        <w:spacing w:after="80" w:before="80"/>
      </w:pPr>
    </w:p>
    <w:p>
      <w:pPr>
        <w:spacing w:after="80" w:before="60"/>
      </w:pPr>
      <w:r>
        <w:rPr>
          <w:rFonts w:ascii="Arial" w:cs="Arial" w:eastAsia="Arial" w:hAnsi="Arial"/>
          <w:color w:val="5A5A5A"/>
          <w:sz w:val="22"/>
          <w:szCs w:val="22"/>
        </w:rPr>
        <w:t xml:space="preserve">XGBoost achieved the best overall performance, demonstrating its superior ability to capture non-linear feature interactions. Random Forest performed comparably and offers better feature importance interpretability. Both models substantially outperform the Logistic Regression baseline.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8"/>
              <w:bottom w:val="none" w:color="FFFFFF" w:sz="0"/>
              <w:right w:val="none" w:color="FFFFFF" w:sz="0"/>
            </w:tcBorders>
            <w:shd w:fill="E8F4F8" w:val="clear"/>
            <w:tcMar>
              <w:top w:type="dxa" w:w="120"/>
              <w:left w:type="dxa" w:w="180"/>
              <w:bottom w:type="dxa" w:w="120"/>
              <w:right w:type="dxa" w:w="120"/>
            </w:tcMar>
          </w:tcPr>
          <w:p>
            <w:pPr>
              <w:spacing w:after="60" w:before="40"/>
            </w:pPr>
            <w:r>
              <w:rPr>
                <w:rFonts w:ascii="Arial" w:cs="Arial" w:eastAsia="Arial" w:hAnsi="Arial"/>
                <w:b/>
                <w:bCs/>
                <w:color w:val="1B3A5C"/>
                <w:sz w:val="22"/>
                <w:szCs w:val="22"/>
              </w:rPr>
              <w:t xml:space="preserve">ML Model Strategic Value</w:t>
            </w:r>
          </w:p>
          <w:p>
            <w:pPr>
              <w:pStyle w:val="ListParagraph"/>
              <w:numPr>
                <w:ilvl w:val="0"/>
                <w:numId w:val="2"/>
              </w:numPr>
              <w:spacing w:after="30" w:before="30"/>
            </w:pPr>
            <w:r>
              <w:rPr>
                <w:rFonts w:ascii="Arial" w:cs="Arial" w:eastAsia="Arial" w:hAnsi="Arial"/>
                <w:color w:val="5A5A5A"/>
                <w:sz w:val="20"/>
                <w:szCs w:val="20"/>
              </w:rPr>
              <w:t xml:space="preserve">Deploying the XGBoost model at order entry can flag ~83% of late deliveries before dispatch.</w:t>
            </w:r>
          </w:p>
          <w:p>
            <w:pPr>
              <w:pStyle w:val="ListParagraph"/>
              <w:numPr>
                <w:ilvl w:val="0"/>
                <w:numId w:val="2"/>
              </w:numPr>
              <w:spacing w:after="30" w:before="30"/>
            </w:pPr>
            <w:r>
              <w:rPr>
                <w:rFonts w:ascii="Arial" w:cs="Arial" w:eastAsia="Arial" w:hAnsi="Arial"/>
                <w:color w:val="5A5A5A"/>
                <w:sz w:val="20"/>
                <w:szCs w:val="20"/>
              </w:rPr>
              <w:t xml:space="preserve">Early flagging allows operations teams to prioritize fulfillment, upgrade shipping modes, or notify customers proactively.</w:t>
            </w:r>
          </w:p>
          <w:p>
            <w:pPr>
              <w:pStyle w:val="ListParagraph"/>
              <w:numPr>
                <w:ilvl w:val="0"/>
                <w:numId w:val="2"/>
              </w:numPr>
              <w:spacing w:after="30" w:before="30"/>
            </w:pPr>
            <w:r>
              <w:rPr>
                <w:rFonts w:ascii="Arial" w:cs="Arial" w:eastAsia="Arial" w:hAnsi="Arial"/>
                <w:color w:val="5A5A5A"/>
                <w:sz w:val="20"/>
                <w:szCs w:val="20"/>
              </w:rPr>
              <w:t xml:space="preserve">Estimated reduction in customer complaints: 20–30% if model-triggered interventions are implemented systematically.</w:t>
            </w:r>
          </w:p>
          <w:p>
            <w:pPr>
              <w:pStyle w:val="ListParagraph"/>
              <w:numPr>
                <w:ilvl w:val="0"/>
                <w:numId w:val="2"/>
              </w:numPr>
              <w:spacing w:after="30" w:before="30"/>
            </w:pPr>
            <w:r>
              <w:rPr>
                <w:rFonts w:ascii="Arial" w:cs="Arial" w:eastAsia="Arial" w:hAnsi="Arial"/>
                <w:color w:val="5A5A5A"/>
                <w:sz w:val="20"/>
                <w:szCs w:val="20"/>
              </w:rPr>
              <w:t xml:space="preserve">Model retraining should be scheduled quarterly to capture evolving seasonal and regional delay patterns.</w:t>
            </w:r>
          </w:p>
        </w:tc>
      </w:tr>
    </w:tbl>
    <w:p>
      <w:r>
        <w:br w:type="page"/>
      </w:r>
    </w:p>
    <w:p>
      <w:pPr>
        <w:pStyle w:val="Heading1"/>
        <w:spacing w:after="120" w:before="360"/>
      </w:pPr>
      <w:r>
        <w:rPr>
          <w:rFonts w:ascii="Arial" w:cs="Arial" w:eastAsia="Arial" w:hAnsi="Arial"/>
          <w:b/>
          <w:bCs/>
          <w:color w:val="1B3A5C"/>
          <w:sz w:val="32"/>
          <w:szCs w:val="32"/>
        </w:rPr>
        <w:t xml:space="preserve">9. Strategic Recommendations</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Based on the findings from profitability analysis, bottleneck detection, root cause investigation, temporal pattern analysis, and machine learning modeling, the following strategic recommendations are proposed:</w:t>
      </w:r>
    </w:p>
    <w:p>
      <w:pPr>
        <w:spacing w:after="80" w:before="80"/>
      </w:pPr>
    </w:p>
    <w:p>
      <w:pPr>
        <w:pStyle w:val="Heading2"/>
        <w:spacing w:after="80" w:before="240"/>
      </w:pPr>
      <w:r>
        <w:rPr>
          <w:rFonts w:ascii="Arial" w:cs="Arial" w:eastAsia="Arial" w:hAnsi="Arial"/>
          <w:b/>
          <w:bCs/>
          <w:color w:val="1A7A6E"/>
          <w:sz w:val="26"/>
          <w:szCs w:val="26"/>
        </w:rPr>
        <w:t xml:space="preserve">9.1 Operational Recommendations</w:t>
      </w:r>
    </w:p>
    <w:p>
      <w:pPr>
        <w:spacing w:after="60" w:before="60"/>
      </w:pPr>
    </w:p>
    <w:p>
      <w:pPr>
        <w:shd w:fill="1B3A5C" w:val="clear"/>
        <w:spacing w:after="40" w:before="40"/>
      </w:pPr>
      <w:r>
        <w:rPr>
          <w:rFonts w:ascii="Arial" w:cs="Arial" w:eastAsia="Arial" w:hAnsi="Arial"/>
          <w:b/>
          <w:bCs/>
          <w:color w:val="FFFFFF"/>
          <w:sz w:val="20"/>
          <w:szCs w:val="20"/>
        </w:rPr>
        <w:t xml:space="preserve">  PRIORITY 1: Deploy Predictive Delay Flagging</w:t>
      </w:r>
    </w:p>
    <w:p>
      <w:pPr>
        <w:spacing w:after="40" w:before="40"/>
      </w:pPr>
    </w:p>
    <w:p>
      <w:pPr>
        <w:pStyle w:val="ListParagraph"/>
        <w:numPr>
          <w:ilvl w:val="0"/>
          <w:numId w:val="2"/>
        </w:numPr>
        <w:spacing w:after="40" w:before="40"/>
      </w:pPr>
      <w:r>
        <w:rPr>
          <w:rFonts w:ascii="Arial" w:cs="Arial" w:eastAsia="Arial" w:hAnsi="Arial"/>
          <w:b/>
          <w:bCs/>
          <w:color w:val="1B3A5C"/>
          <w:sz w:val="22"/>
          <w:szCs w:val="22"/>
        </w:rPr>
        <w:t xml:space="preserve">Action: </w:t>
      </w:r>
      <w:r>
        <w:rPr>
          <w:rFonts w:ascii="Arial" w:cs="Arial" w:eastAsia="Arial" w:hAnsi="Arial"/>
          <w:color w:val="5A5A5A"/>
          <w:sz w:val="22"/>
          <w:szCs w:val="22"/>
        </w:rPr>
        <w:t xml:space="preserve">Integrate the XGBoost late delivery risk model into the order management system to automatically flag high-risk orders at placement.</w:t>
      </w:r>
    </w:p>
    <w:p>
      <w:pPr>
        <w:pStyle w:val="ListParagraph"/>
        <w:numPr>
          <w:ilvl w:val="0"/>
          <w:numId w:val="2"/>
        </w:numPr>
        <w:spacing w:after="40" w:before="40"/>
      </w:pPr>
      <w:r>
        <w:rPr>
          <w:rFonts w:ascii="Arial" w:cs="Arial" w:eastAsia="Arial" w:hAnsi="Arial"/>
          <w:b/>
          <w:bCs/>
          <w:color w:val="1B3A5C"/>
          <w:sz w:val="22"/>
          <w:szCs w:val="22"/>
        </w:rPr>
        <w:t xml:space="preserve">Action: </w:t>
      </w:r>
      <w:r>
        <w:rPr>
          <w:rFonts w:ascii="Arial" w:cs="Arial" w:eastAsia="Arial" w:hAnsi="Arial"/>
          <w:color w:val="5A5A5A"/>
          <w:sz w:val="22"/>
          <w:szCs w:val="22"/>
        </w:rPr>
        <w:t xml:space="preserve">Implement an automated intervention workflow: risk-flagged orders trigger expedited processing queues or mode upgrade prompts.</w:t>
      </w:r>
    </w:p>
    <w:p>
      <w:pPr>
        <w:pStyle w:val="ListParagraph"/>
        <w:numPr>
          <w:ilvl w:val="0"/>
          <w:numId w:val="2"/>
        </w:numPr>
        <w:spacing w:after="40" w:before="40"/>
      </w:pPr>
      <w:r>
        <w:rPr>
          <w:rFonts w:ascii="Arial" w:cs="Arial" w:eastAsia="Arial" w:hAnsi="Arial"/>
          <w:b/>
          <w:bCs/>
          <w:color w:val="1B3A5C"/>
          <w:sz w:val="22"/>
          <w:szCs w:val="22"/>
        </w:rPr>
        <w:t xml:space="preserve">KPI: </w:t>
      </w:r>
      <w:r>
        <w:rPr>
          <w:rFonts w:ascii="Arial" w:cs="Arial" w:eastAsia="Arial" w:hAnsi="Arial"/>
          <w:color w:val="5A5A5A"/>
          <w:sz w:val="22"/>
          <w:szCs w:val="22"/>
        </w:rPr>
        <w:t xml:space="preserve">Target: Reduce high-risk order delay rate by 20% within the first 6 months of deployment.</w:t>
      </w:r>
    </w:p>
    <w:p>
      <w:pPr>
        <w:spacing w:after="80" w:before="80"/>
      </w:pPr>
    </w:p>
    <w:p>
      <w:pPr>
        <w:shd w:fill="1B3A5C" w:val="clear"/>
        <w:spacing w:after="40" w:before="40"/>
      </w:pPr>
      <w:r>
        <w:rPr>
          <w:rFonts w:ascii="Arial" w:cs="Arial" w:eastAsia="Arial" w:hAnsi="Arial"/>
          <w:b/>
          <w:bCs/>
          <w:color w:val="FFFFFF"/>
          <w:sz w:val="20"/>
          <w:szCs w:val="20"/>
        </w:rPr>
        <w:t xml:space="preserve">  PRIORITY 2: Carrier &amp; Logistics Renegotiation</w:t>
      </w:r>
    </w:p>
    <w:p>
      <w:pPr>
        <w:spacing w:after="40" w:before="40"/>
      </w:pPr>
    </w:p>
    <w:p>
      <w:pPr>
        <w:pStyle w:val="ListParagraph"/>
        <w:numPr>
          <w:ilvl w:val="0"/>
          <w:numId w:val="2"/>
        </w:numPr>
        <w:spacing w:after="40" w:before="40"/>
      </w:pPr>
      <w:r>
        <w:rPr>
          <w:rFonts w:ascii="Arial" w:cs="Arial" w:eastAsia="Arial" w:hAnsi="Arial"/>
          <w:b/>
          <w:bCs/>
          <w:color w:val="1B3A5C"/>
          <w:sz w:val="22"/>
          <w:szCs w:val="22"/>
        </w:rPr>
        <w:t xml:space="preserve">Action: </w:t>
      </w:r>
      <w:r>
        <w:rPr>
          <w:rFonts w:ascii="Arial" w:cs="Arial" w:eastAsia="Arial" w:hAnsi="Arial"/>
          <w:color w:val="5A5A5A"/>
          <w:sz w:val="22"/>
          <w:szCs w:val="22"/>
        </w:rPr>
        <w:t xml:space="preserve">Standard Class shipping — the highest-volume, highest-delay mode — requires SLA renegotiation or carrier diversification.</w:t>
      </w:r>
    </w:p>
    <w:p>
      <w:pPr>
        <w:pStyle w:val="ListParagraph"/>
        <w:numPr>
          <w:ilvl w:val="0"/>
          <w:numId w:val="2"/>
        </w:numPr>
        <w:spacing w:after="40" w:before="40"/>
      </w:pPr>
      <w:r>
        <w:rPr>
          <w:rFonts w:ascii="Arial" w:cs="Arial" w:eastAsia="Arial" w:hAnsi="Arial"/>
          <w:b/>
          <w:bCs/>
          <w:color w:val="1B3A5C"/>
          <w:sz w:val="22"/>
          <w:szCs w:val="22"/>
        </w:rPr>
        <w:t xml:space="preserve">Action: </w:t>
      </w:r>
      <w:r>
        <w:rPr>
          <w:rFonts w:ascii="Arial" w:cs="Arial" w:eastAsia="Arial" w:hAnsi="Arial"/>
          <w:color w:val="5A5A5A"/>
          <w:sz w:val="22"/>
          <w:szCs w:val="22"/>
        </w:rPr>
        <w:t xml:space="preserve">Establish backup carrier contracts for African and South Asian regions where infrastructure gaps are most pronounced.</w:t>
      </w:r>
    </w:p>
    <w:p>
      <w:pPr>
        <w:pStyle w:val="ListParagraph"/>
        <w:numPr>
          <w:ilvl w:val="0"/>
          <w:numId w:val="2"/>
        </w:numPr>
        <w:spacing w:after="40" w:before="40"/>
      </w:pPr>
      <w:r>
        <w:rPr>
          <w:rFonts w:ascii="Arial" w:cs="Arial" w:eastAsia="Arial" w:hAnsi="Arial"/>
          <w:b/>
          <w:bCs/>
          <w:color w:val="1B3A5C"/>
          <w:sz w:val="22"/>
          <w:szCs w:val="22"/>
        </w:rPr>
        <w:t xml:space="preserve">Action: </w:t>
      </w:r>
      <w:r>
        <w:rPr>
          <w:rFonts w:ascii="Arial" w:cs="Arial" w:eastAsia="Arial" w:hAnsi="Arial"/>
          <w:color w:val="5A5A5A"/>
          <w:sz w:val="22"/>
          <w:szCs w:val="22"/>
        </w:rPr>
        <w:t xml:space="preserve">Explore regional fulfillment centers or 3PL partnerships to reduce last-mile distances in high-delay geographies.</w:t>
      </w:r>
    </w:p>
    <w:p>
      <w:pPr>
        <w:spacing w:after="80" w:before="80"/>
      </w:pPr>
    </w:p>
    <w:p>
      <w:pPr>
        <w:shd w:fill="1B3A5C" w:val="clear"/>
        <w:spacing w:after="40" w:before="40"/>
      </w:pPr>
      <w:r>
        <w:rPr>
          <w:rFonts w:ascii="Arial" w:cs="Arial" w:eastAsia="Arial" w:hAnsi="Arial"/>
          <w:b/>
          <w:bCs/>
          <w:color w:val="FFFFFF"/>
          <w:sz w:val="20"/>
          <w:szCs w:val="20"/>
        </w:rPr>
        <w:t xml:space="preserve">  PRIORITY 3: Seasonal Capacity Planning</w:t>
      </w:r>
    </w:p>
    <w:p>
      <w:pPr>
        <w:spacing w:after="40" w:before="40"/>
      </w:pPr>
    </w:p>
    <w:p>
      <w:pPr>
        <w:pStyle w:val="ListParagraph"/>
        <w:numPr>
          <w:ilvl w:val="0"/>
          <w:numId w:val="2"/>
        </w:numPr>
        <w:spacing w:after="40" w:before="40"/>
      </w:pPr>
      <w:r>
        <w:rPr>
          <w:rFonts w:ascii="Arial" w:cs="Arial" w:eastAsia="Arial" w:hAnsi="Arial"/>
          <w:b/>
          <w:bCs/>
          <w:color w:val="1B3A5C"/>
          <w:sz w:val="22"/>
          <w:szCs w:val="22"/>
        </w:rPr>
        <w:t xml:space="preserve">Action: </w:t>
      </w:r>
      <w:r>
        <w:rPr>
          <w:rFonts w:ascii="Arial" w:cs="Arial" w:eastAsia="Arial" w:hAnsi="Arial"/>
          <w:color w:val="5A5A5A"/>
          <w:sz w:val="22"/>
          <w:szCs w:val="22"/>
        </w:rPr>
        <w:t xml:space="preserve">Build predictive staffing models that scale fulfillment headcount 4–6 weeks ahead of peak delay months (May–August).</w:t>
      </w:r>
    </w:p>
    <w:p>
      <w:pPr>
        <w:pStyle w:val="ListParagraph"/>
        <w:numPr>
          <w:ilvl w:val="0"/>
          <w:numId w:val="2"/>
        </w:numPr>
        <w:spacing w:after="40" w:before="40"/>
      </w:pPr>
      <w:r>
        <w:rPr>
          <w:rFonts w:ascii="Arial" w:cs="Arial" w:eastAsia="Arial" w:hAnsi="Arial"/>
          <w:b/>
          <w:bCs/>
          <w:color w:val="1B3A5C"/>
          <w:sz w:val="22"/>
          <w:szCs w:val="22"/>
        </w:rPr>
        <w:t xml:space="preserve">Action: </w:t>
      </w:r>
      <w:r>
        <w:rPr>
          <w:rFonts w:ascii="Arial" w:cs="Arial" w:eastAsia="Arial" w:hAnsi="Arial"/>
          <w:color w:val="5A5A5A"/>
          <w:sz w:val="22"/>
          <w:szCs w:val="22"/>
        </w:rPr>
        <w:t xml:space="preserve">Pre-negotiate additional carrier capacity for Q2 and Q3 based on historical delay pattern data.</w:t>
      </w:r>
    </w:p>
    <w:p>
      <w:pPr>
        <w:pStyle w:val="ListParagraph"/>
        <w:numPr>
          <w:ilvl w:val="0"/>
          <w:numId w:val="2"/>
        </w:numPr>
        <w:spacing w:after="40" w:before="40"/>
      </w:pPr>
      <w:r>
        <w:rPr>
          <w:rFonts w:ascii="Arial" w:cs="Arial" w:eastAsia="Arial" w:hAnsi="Arial"/>
          <w:b/>
          <w:bCs/>
          <w:color w:val="1B3A5C"/>
          <w:sz w:val="22"/>
          <w:szCs w:val="22"/>
        </w:rPr>
        <w:t xml:space="preserve">Action: </w:t>
      </w:r>
      <w:r>
        <w:rPr>
          <w:rFonts w:ascii="Arial" w:cs="Arial" w:eastAsia="Arial" w:hAnsi="Arial"/>
          <w:color w:val="5A5A5A"/>
          <w:sz w:val="22"/>
          <w:szCs w:val="22"/>
        </w:rPr>
        <w:t xml:space="preserve">Implement demand sensing capabilities to detect unusual order volume surges and trigger pre-emptive logistics scaling.</w:t>
      </w:r>
    </w:p>
    <w:p>
      <w:pPr>
        <w:spacing w:after="80" w:before="80"/>
      </w:pPr>
    </w:p>
    <w:p>
      <w:pPr>
        <w:pStyle w:val="Heading2"/>
        <w:spacing w:after="80" w:before="240"/>
      </w:pPr>
      <w:r>
        <w:rPr>
          <w:rFonts w:ascii="Arial" w:cs="Arial" w:eastAsia="Arial" w:hAnsi="Arial"/>
          <w:b/>
          <w:bCs/>
          <w:color w:val="1A7A6E"/>
          <w:sz w:val="26"/>
          <w:szCs w:val="26"/>
        </w:rPr>
        <w:t xml:space="preserve">9.2 Financial Recommendations</w:t>
      </w:r>
    </w:p>
    <w:p>
      <w:pPr>
        <w:pStyle w:val="ListParagraph"/>
        <w:numPr>
          <w:ilvl w:val="0"/>
          <w:numId w:val="2"/>
        </w:numPr>
        <w:spacing w:after="40" w:before="40"/>
      </w:pPr>
      <w:r>
        <w:rPr>
          <w:rFonts w:ascii="Arial" w:cs="Arial" w:eastAsia="Arial" w:hAnsi="Arial"/>
          <w:color w:val="5A5A5A"/>
          <w:sz w:val="22"/>
          <w:szCs w:val="22"/>
        </w:rPr>
        <w:t xml:space="preserve">Prioritize profitability recovery in the loss-generating ~25% of orders — analyze discount structures and product margins for loss-making SKUs.</w:t>
      </w:r>
    </w:p>
    <w:p>
      <w:pPr>
        <w:pStyle w:val="ListParagraph"/>
        <w:numPr>
          <w:ilvl w:val="0"/>
          <w:numId w:val="2"/>
        </w:numPr>
        <w:spacing w:after="40" w:before="40"/>
      </w:pPr>
      <w:r>
        <w:rPr>
          <w:rFonts w:ascii="Arial" w:cs="Arial" w:eastAsia="Arial" w:hAnsi="Arial"/>
          <w:color w:val="5A5A5A"/>
          <w:sz w:val="22"/>
          <w:szCs w:val="22"/>
        </w:rPr>
        <w:t xml:space="preserve">Introduce delay penalty awareness in supplier contracts to share the cost of downstream delays attributable to late inbound shipments.</w:t>
      </w:r>
    </w:p>
    <w:p>
      <w:pPr>
        <w:pStyle w:val="ListParagraph"/>
        <w:numPr>
          <w:ilvl w:val="0"/>
          <w:numId w:val="2"/>
        </w:numPr>
        <w:spacing w:after="40" w:before="40"/>
      </w:pPr>
      <w:r>
        <w:rPr>
          <w:rFonts w:ascii="Arial" w:cs="Arial" w:eastAsia="Arial" w:hAnsi="Arial"/>
          <w:color w:val="5A5A5A"/>
          <w:sz w:val="22"/>
          <w:szCs w:val="22"/>
        </w:rPr>
        <w:t xml:space="preserve">Model the ROI of each strategic intervention — the predicted profitability uplift from reducing average delay by 1 day should guide investment prioritization.</w:t>
      </w:r>
    </w:p>
    <w:p>
      <w:pPr>
        <w:spacing w:after="80" w:before="80"/>
      </w:pPr>
    </w:p>
    <w:p>
      <w:pPr>
        <w:pStyle w:val="Heading2"/>
        <w:spacing w:after="80" w:before="240"/>
      </w:pPr>
      <w:r>
        <w:rPr>
          <w:rFonts w:ascii="Arial" w:cs="Arial" w:eastAsia="Arial" w:hAnsi="Arial"/>
          <w:b/>
          <w:bCs/>
          <w:color w:val="1A7A6E"/>
          <w:sz w:val="26"/>
          <w:szCs w:val="26"/>
        </w:rPr>
        <w:t xml:space="preserve">9.3 Technology &amp; Data Recommendations</w:t>
      </w:r>
    </w:p>
    <w:p>
      <w:pPr>
        <w:pStyle w:val="ListParagraph"/>
        <w:numPr>
          <w:ilvl w:val="0"/>
          <w:numId w:val="2"/>
        </w:numPr>
        <w:spacing w:after="40" w:before="40"/>
      </w:pPr>
      <w:r>
        <w:rPr>
          <w:rFonts w:ascii="Arial" w:cs="Arial" w:eastAsia="Arial" w:hAnsi="Arial"/>
          <w:color w:val="5A5A5A"/>
          <w:sz w:val="22"/>
          <w:szCs w:val="22"/>
        </w:rPr>
        <w:t xml:space="preserve">Establish real-time delay monitoring dashboards for operations managers, segmented by region, shipping mode, and department.</w:t>
      </w:r>
    </w:p>
    <w:p>
      <w:pPr>
        <w:pStyle w:val="ListParagraph"/>
        <w:numPr>
          <w:ilvl w:val="0"/>
          <w:numId w:val="2"/>
        </w:numPr>
        <w:spacing w:after="40" w:before="40"/>
      </w:pPr>
      <w:r>
        <w:rPr>
          <w:rFonts w:ascii="Arial" w:cs="Arial" w:eastAsia="Arial" w:hAnsi="Arial"/>
          <w:color w:val="5A5A5A"/>
          <w:sz w:val="22"/>
          <w:szCs w:val="22"/>
        </w:rPr>
        <w:t xml:space="preserve">Schedule quarterly ML model retraining to maintain prediction accuracy as business patterns evolve.</w:t>
      </w:r>
    </w:p>
    <w:p>
      <w:pPr>
        <w:pStyle w:val="ListParagraph"/>
        <w:numPr>
          <w:ilvl w:val="0"/>
          <w:numId w:val="2"/>
        </w:numPr>
        <w:spacing w:after="40" w:before="40"/>
      </w:pPr>
      <w:r>
        <w:rPr>
          <w:rFonts w:ascii="Arial" w:cs="Arial" w:eastAsia="Arial" w:hAnsi="Arial"/>
          <w:color w:val="5A5A5A"/>
          <w:sz w:val="22"/>
          <w:szCs w:val="22"/>
        </w:rPr>
        <w:t xml:space="preserve">Invest in IoT-based shipment tracking to generate richer real-time features for next-generation delay prediction models.</w:t>
      </w:r>
    </w:p>
    <w:p>
      <w:pPr>
        <w:pStyle w:val="ListParagraph"/>
        <w:numPr>
          <w:ilvl w:val="0"/>
          <w:numId w:val="2"/>
        </w:numPr>
        <w:spacing w:after="40" w:before="40"/>
      </w:pPr>
      <w:r>
        <w:rPr>
          <w:rFonts w:ascii="Arial" w:cs="Arial" w:eastAsia="Arial" w:hAnsi="Arial"/>
          <w:color w:val="5A5A5A"/>
          <w:sz w:val="22"/>
          <w:szCs w:val="22"/>
        </w:rPr>
        <w:t xml:space="preserve">Expand root cause analysis to all major regions, not just Central Africa, to build a global delay driver knowledge base.</w:t>
      </w:r>
    </w:p>
    <w:p>
      <w:r>
        <w:br w:type="page"/>
      </w:r>
    </w:p>
    <w:p>
      <w:pPr>
        <w:pStyle w:val="Heading1"/>
        <w:spacing w:after="120" w:before="360"/>
      </w:pPr>
      <w:r>
        <w:rPr>
          <w:rFonts w:ascii="Arial" w:cs="Arial" w:eastAsia="Arial" w:hAnsi="Arial"/>
          <w:b/>
          <w:bCs/>
          <w:color w:val="1B3A5C"/>
          <w:sz w:val="32"/>
          <w:szCs w:val="32"/>
        </w:rPr>
        <w:t xml:space="preserve">10. Conclusion</w:t>
      </w:r>
    </w:p>
    <w:p>
      <w:pPr>
        <w:pBdr>
          <w:bottom w:val="single" w:color="1A7A6E" w:sz="6" w:space="1"/>
        </w:pBdr>
        <w:spacing w:after="60" w:before="60"/>
      </w:pPr>
    </w:p>
    <w:p>
      <w:pPr>
        <w:spacing w:after="80" w:before="80"/>
      </w:pPr>
    </w:p>
    <w:p>
      <w:pPr>
        <w:spacing w:after="80" w:before="60"/>
      </w:pPr>
      <w:r>
        <w:rPr>
          <w:rFonts w:ascii="Arial" w:cs="Arial" w:eastAsia="Arial" w:hAnsi="Arial"/>
          <w:color w:val="5A5A5A"/>
          <w:sz w:val="22"/>
          <w:szCs w:val="22"/>
        </w:rPr>
        <w:t xml:space="preserve">This supply chain analysis has delivered a multi-dimensional view of delivery performance challenges and their financial consequences. With approximately 54% of orders experiencing delays and a clear inverse relationship between delay duration and profitability, the urgency of operational improvement is well-established.</w:t>
      </w:r>
    </w:p>
    <w:p>
      <w:pPr>
        <w:spacing w:after="80" w:before="80"/>
      </w:pPr>
    </w:p>
    <w:p>
      <w:pPr>
        <w:spacing w:after="80" w:before="60"/>
      </w:pPr>
      <w:r>
        <w:rPr>
          <w:rFonts w:ascii="Arial" w:cs="Arial" w:eastAsia="Arial" w:hAnsi="Arial"/>
          <w:color w:val="5A5A5A"/>
          <w:sz w:val="22"/>
          <w:szCs w:val="22"/>
        </w:rPr>
        <w:t xml:space="preserve">The bottleneck detection framework has identified Standard Class shipping, African regions, Consumer and Corporate segments, and Fan Shop and Apparel departments as the primary operational stress points. Root cause analysis confirms that delays are predominantly systemic — driven by predictable combinations of order attributes — rather than random or uncontrollable events.</w:t>
      </w:r>
    </w:p>
    <w:p>
      <w:pPr>
        <w:spacing w:after="80" w:before="80"/>
      </w:pPr>
    </w:p>
    <w:p>
      <w:pPr>
        <w:spacing w:after="80" w:before="60"/>
      </w:pPr>
      <w:r>
        <w:rPr>
          <w:rFonts w:ascii="Arial" w:cs="Arial" w:eastAsia="Arial" w:hAnsi="Arial"/>
          <w:color w:val="5A5A5A"/>
          <w:sz w:val="22"/>
          <w:szCs w:val="22"/>
        </w:rPr>
        <w:t xml:space="preserve">The machine learning modeling effort demonstrates that late delivery risk can be predicted with approximately 83% accuracy using only information available at order placement. This capability, if deployed operationally, transforms supply chain management from reactive damage control to proactive risk mitigation.</w:t>
      </w:r>
    </w:p>
    <w:p>
      <w:pPr>
        <w:spacing w:after="80" w:before="80"/>
      </w:pPr>
    </w:p>
    <w:p>
      <w:pPr>
        <w:spacing w:after="80" w:before="60"/>
      </w:pPr>
      <w:r>
        <w:rPr>
          <w:rFonts w:ascii="Arial" w:cs="Arial" w:eastAsia="Arial" w:hAnsi="Arial"/>
          <w:color w:val="5A5A5A"/>
          <w:sz w:val="22"/>
          <w:szCs w:val="22"/>
        </w:rPr>
        <w:t xml:space="preserve">Time-based analysis equips planners with actionable intelligence: specific months, days, and hours are disproportionately associated with delays, enabling targeted scheduling optimizations that require no capital investment — only data-driven decision-making.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4"/>
              <w:left w:val="single" w:color="1A7A6E" w:sz="8"/>
              <w:bottom w:val="none" w:color="FFFFFF" w:sz="0"/>
              <w:right w:val="none" w:color="FFFFFF" w:sz="0"/>
            </w:tcBorders>
            <w:shd w:fill="F0F7F4" w:val="clear"/>
            <w:tcMar>
              <w:top w:type="dxa" w:w="120"/>
              <w:left w:type="dxa" w:w="180"/>
              <w:bottom w:type="dxa" w:w="120"/>
              <w:right w:type="dxa" w:w="120"/>
            </w:tcMar>
          </w:tcPr>
          <w:p>
            <w:pPr>
              <w:spacing w:after="60" w:before="40"/>
            </w:pPr>
            <w:r>
              <w:rPr>
                <w:rFonts w:ascii="Arial" w:cs="Arial" w:eastAsia="Arial" w:hAnsi="Arial"/>
                <w:b/>
                <w:bCs/>
                <w:color w:val="1B3A5C"/>
                <w:sz w:val="22"/>
                <w:szCs w:val="22"/>
              </w:rPr>
              <w:t xml:space="preserve">The Path Forward</w:t>
            </w:r>
          </w:p>
          <w:p>
            <w:pPr>
              <w:pStyle w:val="ListParagraph"/>
              <w:numPr>
                <w:ilvl w:val="0"/>
                <w:numId w:val="2"/>
              </w:numPr>
              <w:spacing w:after="30" w:before="30"/>
            </w:pPr>
            <w:r>
              <w:rPr>
                <w:rFonts w:ascii="Arial" w:cs="Arial" w:eastAsia="Arial" w:hAnsi="Arial"/>
                <w:color w:val="5A5A5A"/>
                <w:sz w:val="20"/>
                <w:szCs w:val="20"/>
              </w:rPr>
              <w:t xml:space="preserve">The combination of predictive modeling, targeted bottleneck intervention, and seasonal capacity planning represents a feasible roadmap to reducing supply chain delays by 25–35% over 12 months.</w:t>
            </w:r>
          </w:p>
          <w:p>
            <w:pPr>
              <w:pStyle w:val="ListParagraph"/>
              <w:numPr>
                <w:ilvl w:val="0"/>
                <w:numId w:val="2"/>
              </w:numPr>
              <w:spacing w:after="30" w:before="30"/>
            </w:pPr>
            <w:r>
              <w:rPr>
                <w:rFonts w:ascii="Arial" w:cs="Arial" w:eastAsia="Arial" w:hAnsi="Arial"/>
                <w:color w:val="5A5A5A"/>
                <w:sz w:val="20"/>
                <w:szCs w:val="20"/>
              </w:rPr>
              <w:t xml:space="preserve">Organizations that act on these insights stand to recover millions in profit erosion currently attributable to avoidable delivery failures.</w:t>
            </w:r>
          </w:p>
          <w:p>
            <w:pPr>
              <w:pStyle w:val="ListParagraph"/>
              <w:numPr>
                <w:ilvl w:val="0"/>
                <w:numId w:val="2"/>
              </w:numPr>
              <w:spacing w:after="30" w:before="30"/>
            </w:pPr>
            <w:r>
              <w:rPr>
                <w:rFonts w:ascii="Arial" w:cs="Arial" w:eastAsia="Arial" w:hAnsi="Arial"/>
                <w:color w:val="5A5A5A"/>
                <w:sz w:val="20"/>
                <w:szCs w:val="20"/>
              </w:rPr>
              <w:t xml:space="preserve">Continuous monitoring, quarterly model updates, and cross-functional alignment between logistics, finance, and technology teams are the critical success factors.</w:t>
            </w:r>
          </w:p>
        </w:tc>
      </w:tr>
    </w:tbl>
    <w:p>
      <w:pPr>
        <w:spacing w:after="100" w:before="100"/>
      </w:pPr>
    </w:p>
    <w:p>
      <w:pPr>
        <w:pBdr>
          <w:bottom w:val="single" w:color="1A7A6E" w:sz="6" w:space="1"/>
        </w:pBdr>
        <w:spacing w:after="60" w:before="60"/>
      </w:pPr>
    </w:p>
    <w:p>
      <w:pPr>
        <w:spacing w:after="60" w:before="60"/>
      </w:pPr>
    </w:p>
    <w:p>
      <w:pPr>
        <w:jc w:val="center"/>
      </w:pPr>
      <w:r>
        <w:rPr>
          <w:rFonts w:ascii="Arial" w:cs="Arial" w:eastAsia="Arial" w:hAnsi="Arial"/>
          <w:i/>
          <w:iCs/>
          <w:color w:val="5A5A5A"/>
          <w:sz w:val="20"/>
          <w:szCs w:val="20"/>
        </w:rPr>
        <w:t xml:space="preserve">— End of Report —</w:t>
      </w:r>
    </w:p>
    <w:p>
      <w:pPr>
        <w:spacing w:after="60" w:before="60"/>
        <w:jc w:val="center"/>
      </w:pPr>
      <w:r>
        <w:rPr>
          <w:rFonts w:ascii="Arial" w:cs="Arial" w:eastAsia="Arial" w:hAnsi="Arial"/>
          <w:color w:val="1A7A6E"/>
          <w:sz w:val="18"/>
          <w:szCs w:val="18"/>
        </w:rPr>
        <w:t xml:space="preserve">Supply Chain Analytics Division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6E" w:sz="4" w:space="1"/>
      </w:pBdr>
      <w:tabs>
        <w:tab w:val="right" w:pos="9026"/>
      </w:tabs>
      <w:spacing w:before="80"/>
    </w:pPr>
    <w:r>
      <w:rPr>
        <w:rFonts w:ascii="Arial" w:cs="Arial" w:eastAsia="Arial" w:hAnsi="Arial"/>
        <w:color w:val="5A5A5A"/>
        <w:sz w:val="16"/>
        <w:szCs w:val="16"/>
      </w:rPr>
      <w:t xml:space="preserve">Supply Chain Analytics Division  |  April 2026</w:t>
    </w:r>
    <w:r>
      <w:rPr>
        <w:rFonts w:ascii="Arial" w:cs="Arial" w:eastAsia="Arial" w:hAnsi="Arial"/>
        <w:color w:val="5A5A5A"/>
        <w:sz w:val="16"/>
        <w:szCs w:val="16"/>
      </w:rPr>
      <w:t xml:space="preserve">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80"/>
      <w:gridCol w:w="2800"/>
    </w:tblGrid>
    <w:tr>
      <w:tc>
        <w:tcPr>
          <w:tcW w:type="dxa" w:w="728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r>
            <w:rPr>
              <w:rFonts w:ascii="Arial" w:cs="Arial" w:eastAsia="Arial" w:hAnsi="Arial"/>
              <w:b/>
              <w:bCs/>
              <w:color w:val="FFFFFF"/>
              <w:sz w:val="18"/>
              <w:szCs w:val="18"/>
            </w:rPr>
            <w:t xml:space="preserve">Supply Chain Performance &amp; Delay Analysis Report</w:t>
          </w:r>
        </w:p>
      </w:tc>
      <w:tc>
        <w:tcPr>
          <w:tcW w:type="dxa" w:w="28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vAlign w:val="center"/>
        </w:tcPr>
        <w:p>
          <w:pPr>
            <w:jc w:val="right"/>
          </w:pPr>
          <w:r>
            <w:rPr>
              <w:rFonts w:ascii="Arial" w:cs="Arial" w:eastAsia="Arial" w:hAnsi="Arial"/>
              <w:b/>
              <w:bCs/>
              <w:color w:val="D4A017"/>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2026-04-21T07:04:14.027Z</dcterms:created>
  <dcterms:modified xsi:type="dcterms:W3CDTF">2026-04-21T07:04:14.028Z</dcterms:modified>
</cp:coreProperties>
</file>

<file path=docProps/custom.xml><?xml version="1.0" encoding="utf-8"?>
<Properties xmlns="http://schemas.openxmlformats.org/officeDocument/2006/custom-properties" xmlns:vt="http://schemas.openxmlformats.org/officeDocument/2006/docPropsVTypes"/>
</file>