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cs="Arial" w:eastAsia="Arial" w:hAnsi="Arial"/>
          <w:b/>
          <w:bCs/>
          <w:color w:val="1F4E79"/>
          <w:sz w:val="56"/>
          <w:szCs w:val="56"/>
        </w:rPr>
        <w:t xml:space="preserve">TECHNICAL REPORT</w:t>
      </w:r>
    </w:p>
    <w:p>
      <w:pPr>
        <w:pBdr>
          <w:bottom w:val="single" w:color="2E75B6" w:sz="8" w:space="6"/>
        </w:pBdr>
        <w:spacing w:after="200" w:before="0"/>
        <w:jc w:val="center"/>
      </w:pPr>
      <w:r>
        <w:rPr>
          <w:rFonts w:ascii="Arial" w:cs="Arial" w:eastAsia="Arial" w:hAnsi="Arial"/>
          <w:color w:val="2E75B6"/>
          <w:sz w:val="36"/>
          <w:szCs w:val="36"/>
        </w:rPr>
        <w:t xml:space="preserve">E-Commerce Distributed Backend</w:t>
      </w:r>
    </w:p>
    <w:p>
      <w:r>
        <w:t xml:space="preserve"/>
      </w:r>
    </w:p>
    <w:p>
      <w:pPr>
        <w:spacing w:after="120" w:before="300"/>
        <w:jc w:val="center"/>
      </w:pPr>
      <w:r>
        <w:rPr>
          <w:rFonts w:ascii="Arial" w:cs="Arial" w:eastAsia="Arial" w:hAnsi="Arial"/>
          <w:b/>
          <w:bCs/>
          <w:color w:val="404040"/>
          <w:sz w:val="28"/>
          <w:szCs w:val="28"/>
        </w:rPr>
        <w:t xml:space="preserve">Luis Fernando Agamez Atehortua</w:t>
      </w:r>
    </w:p>
    <w:p>
      <w:pPr>
        <w:spacing w:after="80" w:before="0"/>
        <w:jc w:val="center"/>
      </w:pPr>
      <w:r>
        <w:rPr>
          <w:rFonts w:ascii="Arial" w:cs="Arial" w:eastAsia="Arial" w:hAnsi="Arial"/>
          <w:color w:val="595959"/>
          <w:sz w:val="22"/>
          <w:szCs w:val="22"/>
        </w:rPr>
        <w:t xml:space="preserve">Backend Developer</w:t>
      </w:r>
    </w:p>
    <w:p>
      <w:pPr>
        <w:spacing w:after="80" w:before="0"/>
        <w:jc w:val="center"/>
      </w:pPr>
      <w:r>
        <w:rPr>
          <w:rFonts w:ascii="Arial" w:cs="Arial" w:eastAsia="Arial" w:hAnsi="Arial"/>
          <w:color w:val="2E75B6"/>
          <w:sz w:val="20"/>
          <w:szCs w:val="20"/>
        </w:rPr>
        <w:t xml:space="preserve">github.com/Darkblade1995/ecommerce-backend</w:t>
      </w:r>
    </w:p>
    <w:p>
      <w:pPr>
        <w:spacing w:after="80" w:before="200"/>
        <w:jc w:val="center"/>
      </w:pPr>
      <w:r>
        <w:rPr>
          <w:rFonts w:ascii="Arial" w:cs="Arial" w:eastAsia="Arial" w:hAnsi="Arial"/>
          <w:i/>
          <w:iCs/>
          <w:color w:val="595959"/>
          <w:sz w:val="20"/>
          <w:szCs w:val="20"/>
        </w:rPr>
        <w:t xml:space="preserve">Stack: Python · Go · PostgreSQL · Redis · Kafka · Kubernetes · Docker</w:t>
      </w:r>
    </w:p>
    <w:p>
      <w:pPr>
        <w:spacing w:after="0" w:before="80"/>
        <w:jc w:val="center"/>
      </w:pPr>
      <w:r>
        <w:rPr>
          <w:rFonts w:ascii="Arial" w:cs="Arial" w:eastAsia="Arial" w:hAnsi="Arial"/>
          <w:color w:val="595959"/>
          <w:sz w:val="22"/>
          <w:szCs w:val="22"/>
        </w:rPr>
        <w:t xml:space="preserve">2026</w:t>
      </w:r>
    </w:p>
    <w:p>
      <w:r>
        <w:br w:type="page"/>
      </w:r>
    </w:p>
    <w:p>
      <w:pPr>
        <w:spacing w:after="300" w:before="0"/>
        <w:jc w:val="center"/>
      </w:pPr>
      <w:r>
        <w:rPr>
          <w:rFonts w:ascii="Arial" w:cs="Arial" w:eastAsia="Arial" w:hAnsi="Arial"/>
          <w:b/>
          <w:bCs/>
          <w:color w:val="1F4E79"/>
          <w:sz w:val="28"/>
          <w:szCs w:val="28"/>
        </w:rPr>
        <w:t xml:space="preserve">— ENGLISH VERSION —</w:t>
      </w:r>
    </w:p>
    <w:p>
      <w:pPr>
        <w:pStyle w:val="Heading1"/>
        <w:pBdr>
          <w:bottom w:val="single" w:color="2E75B6" w:sz="6" w:space="4"/>
        </w:pBdr>
        <w:spacing w:after="200" w:before="400"/>
      </w:pPr>
      <w:r>
        <w:rPr>
          <w:rFonts w:ascii="Arial" w:cs="Arial" w:eastAsia="Arial" w:hAnsi="Arial"/>
          <w:b/>
          <w:bCs/>
          <w:color w:val="1F4E79"/>
          <w:sz w:val="36"/>
          <w:szCs w:val="36"/>
        </w:rPr>
        <w:t xml:space="preserve">1. Project Overview</w:t>
      </w:r>
    </w:p>
    <w:p>
      <w:pPr>
        <w:spacing w:after="80" w:before="80"/>
      </w:pPr>
      <w:r>
        <w:rPr>
          <w:rFonts w:ascii="Arial" w:cs="Arial" w:eastAsia="Arial" w:hAnsi="Arial"/>
          <w:color w:val="404040"/>
          <w:sz w:val="22"/>
          <w:szCs w:val="22"/>
        </w:rPr>
        <w:t xml:space="preserve">This project is a production-grade distributed e-commerce backend built from scratch using a microservices architecture. The goal was to design and implement a system that reflects real-world backend engineering practices — not a tutorial, but a system with the same patterns, tooling, and decisions found in production environments at technology companies.</w:t>
      </w:r>
    </w:p>
    <w:p>
      <w:r>
        <w:t xml:space="preserve"/>
      </w:r>
    </w:p>
    <w:p>
      <w:pPr>
        <w:spacing w:after="80" w:before="80"/>
      </w:pPr>
      <w:r>
        <w:rPr>
          <w:rFonts w:ascii="Arial" w:cs="Arial" w:eastAsia="Arial" w:hAnsi="Arial"/>
          <w:color w:val="404040"/>
          <w:sz w:val="22"/>
          <w:szCs w:val="22"/>
        </w:rPr>
        <w:t xml:space="preserve">The system handles user authentication, product catalog management, order processing, and real-time notifications. Each concern is isolated in its own service, with its own database, deployed independently on Kubernetes.</w:t>
      </w:r>
    </w:p>
    <w:p>
      <w:pPr>
        <w:pStyle w:val="Heading1"/>
        <w:pBdr>
          <w:bottom w:val="single" w:color="2E75B6" w:sz="6" w:space="4"/>
        </w:pBdr>
        <w:spacing w:after="200" w:before="400"/>
      </w:pPr>
      <w:r>
        <w:rPr>
          <w:rFonts w:ascii="Arial" w:cs="Arial" w:eastAsia="Arial" w:hAnsi="Arial"/>
          <w:b/>
          <w:bCs/>
          <w:color w:val="1F4E79"/>
          <w:sz w:val="36"/>
          <w:szCs w:val="36"/>
        </w:rPr>
        <w:t xml:space="preserve">2. System Architecture</w:t>
      </w:r>
    </w:p>
    <w:p>
      <w:pPr>
        <w:spacing w:after="80" w:before="80"/>
      </w:pPr>
      <w:r>
        <w:rPr>
          <w:rFonts w:ascii="Arial" w:cs="Arial" w:eastAsia="Arial" w:hAnsi="Arial"/>
          <w:color w:val="404040"/>
          <w:sz w:val="22"/>
          <w:szCs w:val="22"/>
        </w:rPr>
        <w:t xml:space="preserve">The following diagram shows the high-level flow of a request through the system:</w:t>
      </w:r>
    </w:p>
    <w:p>
      <w:r>
        <w:t xml:space="preserve"/>
      </w:r>
    </w:p>
    <w:p>
      <w:pPr>
        <w:spacing w:after="60" w:before="60"/>
        <w:ind w:left="360"/>
      </w:pPr>
      <w:r>
        <w:rPr>
          <w:rFonts w:ascii="Courier New" w:cs="Courier New" w:eastAsia="Courier New" w:hAnsi="Courier New"/>
          <w:color w:val="1E1E1E"/>
          <w:sz w:val="18"/>
          <w:szCs w:val="18"/>
        </w:rPr>
        <w:t xml:space="preserve">Internet</w:t>
      </w:r>
    </w:p>
    <w:p>
      <w:pPr>
        <w:spacing w:after="60" w:before="60"/>
        <w:ind w:left="360"/>
      </w:pPr>
      <w:r>
        <w:rPr>
          <w:rFonts w:ascii="Courier New" w:cs="Courier New" w:eastAsia="Courier New" w:hAnsi="Courier New"/>
          <w:color w:val="1E1E1E"/>
          <w:sz w:val="18"/>
          <w:szCs w:val="18"/>
        </w:rPr>
        <w:t xml:space="preserve">    │</w:t>
      </w:r>
    </w:p>
    <w:p>
      <w:pPr>
        <w:spacing w:after="60" w:before="60"/>
        <w:ind w:left="360"/>
      </w:pPr>
      <w:r>
        <w:rPr>
          <w:rFonts w:ascii="Courier New" w:cs="Courier New" w:eastAsia="Courier New" w:hAnsi="Courier New"/>
          <w:color w:val="1E1E1E"/>
          <w:sz w:val="18"/>
          <w:szCs w:val="18"/>
        </w:rPr>
        <w:t xml:space="preserve">    ▼</w:t>
      </w:r>
    </w:p>
    <w:p>
      <w:pPr>
        <w:spacing w:after="60" w:before="60"/>
        <w:ind w:left="360"/>
      </w:pPr>
      <w:r>
        <w:rPr>
          <w:rFonts w:ascii="Courier New" w:cs="Courier New" w:eastAsia="Courier New" w:hAnsi="Courier New"/>
          <w:color w:val="1E1E1E"/>
          <w:sz w:val="18"/>
          <w:szCs w:val="18"/>
        </w:rPr>
        <w:t xml:space="preserve">Ingress Controller (nginx)</w:t>
      </w:r>
    </w:p>
    <w:p>
      <w:pPr>
        <w:spacing w:after="60" w:before="60"/>
        <w:ind w:left="360"/>
      </w:pPr>
      <w:r>
        <w:rPr>
          <w:rFonts w:ascii="Courier New" w:cs="Courier New" w:eastAsia="Courier New" w:hAnsi="Courier New"/>
          <w:color w:val="1E1E1E"/>
          <w:sz w:val="18"/>
          <w:szCs w:val="18"/>
        </w:rPr>
        <w:t xml:space="preserve">    │  Subdomain routing + TLS termination</w:t>
      </w:r>
    </w:p>
    <w:p>
      <w:pPr>
        <w:spacing w:after="60" w:before="60"/>
        <w:ind w:left="360"/>
      </w:pPr>
      <w:r>
        <w:rPr>
          <w:rFonts w:ascii="Courier New" w:cs="Courier New" w:eastAsia="Courier New" w:hAnsi="Courier New"/>
          <w:color w:val="1E1E1E"/>
          <w:sz w:val="18"/>
          <w:szCs w:val="18"/>
        </w:rPr>
        <w:t xml:space="preserve">    ▼</w:t>
      </w:r>
    </w:p>
    <w:p>
      <w:pPr>
        <w:spacing w:after="60" w:before="60"/>
        <w:ind w:left="360"/>
      </w:pPr>
      <w:r>
        <w:rPr>
          <w:rFonts w:ascii="Courier New" w:cs="Courier New" w:eastAsia="Courier New" w:hAnsi="Courier New"/>
          <w:color w:val="1E1E1E"/>
          <w:sz w:val="18"/>
          <w:szCs w:val="18"/>
        </w:rPr>
        <w:t xml:space="preserve">API Gateway :8000</w:t>
      </w:r>
    </w:p>
    <w:p>
      <w:pPr>
        <w:spacing w:after="60" w:before="60"/>
        <w:ind w:left="360"/>
      </w:pPr>
      <w:r>
        <w:rPr>
          <w:rFonts w:ascii="Courier New" w:cs="Courier New" w:eastAsia="Courier New" w:hAnsi="Courier New"/>
          <w:color w:val="1E1E1E"/>
          <w:sz w:val="18"/>
          <w:szCs w:val="18"/>
        </w:rPr>
        <w:t xml:space="preserve">    │  JWT validation · RBAC · Rate limiting</w:t>
      </w:r>
    </w:p>
    <w:p>
      <w:pPr>
        <w:spacing w:after="60" w:before="60"/>
        <w:ind w:left="360"/>
      </w:pPr>
      <w:r>
        <w:rPr>
          <w:rFonts w:ascii="Courier New" w:cs="Courier New" w:eastAsia="Courier New" w:hAnsi="Courier New"/>
          <w:color w:val="1E1E1E"/>
          <w:sz w:val="18"/>
          <w:szCs w:val="18"/>
        </w:rPr>
        <w:t xml:space="preserve">    │</w:t>
      </w:r>
    </w:p>
    <w:p>
      <w:pPr>
        <w:spacing w:after="60" w:before="60"/>
        <w:ind w:left="360"/>
      </w:pPr>
      <w:r>
        <w:rPr>
          <w:rFonts w:ascii="Courier New" w:cs="Courier New" w:eastAsia="Courier New" w:hAnsi="Courier New"/>
          <w:color w:val="1E1E1E"/>
          <w:sz w:val="18"/>
          <w:szCs w:val="18"/>
        </w:rPr>
        <w:t xml:space="preserve">    ├──► User Service :8001</w:t>
      </w:r>
    </w:p>
    <w:p>
      <w:pPr>
        <w:spacing w:after="60" w:before="60"/>
        <w:ind w:left="360"/>
      </w:pPr>
      <w:r>
        <w:rPr>
          <w:rFonts w:ascii="Courier New" w:cs="Courier New" w:eastAsia="Courier New" w:hAnsi="Courier New"/>
          <w:color w:val="1E1E1E"/>
          <w:sz w:val="18"/>
          <w:szCs w:val="18"/>
        </w:rPr>
        <w:t xml:space="preserve">    │      FastAPI · PostgreSQL · bcrypt · JWT</w:t>
      </w:r>
    </w:p>
    <w:p>
      <w:pPr>
        <w:spacing w:after="60" w:before="60"/>
        <w:ind w:left="360"/>
      </w:pPr>
      <w:r>
        <w:rPr>
          <w:rFonts w:ascii="Courier New" w:cs="Courier New" w:eastAsia="Courier New" w:hAnsi="Courier New"/>
          <w:color w:val="1E1E1E"/>
          <w:sz w:val="18"/>
          <w:szCs w:val="18"/>
        </w:rPr>
        <w:t xml:space="preserve">    │</w:t>
      </w:r>
    </w:p>
    <w:p>
      <w:pPr>
        <w:spacing w:after="60" w:before="60"/>
        <w:ind w:left="360"/>
      </w:pPr>
      <w:r>
        <w:rPr>
          <w:rFonts w:ascii="Courier New" w:cs="Courier New" w:eastAsia="Courier New" w:hAnsi="Courier New"/>
          <w:color w:val="1E1E1E"/>
          <w:sz w:val="18"/>
          <w:szCs w:val="18"/>
        </w:rPr>
        <w:t xml:space="preserve">    ├──► Product Service :8002</w:t>
      </w:r>
    </w:p>
    <w:p>
      <w:pPr>
        <w:spacing w:after="60" w:before="60"/>
        <w:ind w:left="360"/>
      </w:pPr>
      <w:r>
        <w:rPr>
          <w:rFonts w:ascii="Courier New" w:cs="Courier New" w:eastAsia="Courier New" w:hAnsi="Courier New"/>
          <w:color w:val="1E1E1E"/>
          <w:sz w:val="18"/>
          <w:szCs w:val="18"/>
        </w:rPr>
        <w:t xml:space="preserve">    │      FastAPI · PostgreSQL · Redis Cache-Aside</w:t>
      </w:r>
    </w:p>
    <w:p>
      <w:pPr>
        <w:spacing w:after="60" w:before="60"/>
        <w:ind w:left="360"/>
      </w:pPr>
      <w:r>
        <w:rPr>
          <w:rFonts w:ascii="Courier New" w:cs="Courier New" w:eastAsia="Courier New" w:hAnsi="Courier New"/>
          <w:color w:val="1E1E1E"/>
          <w:sz w:val="18"/>
          <w:szCs w:val="18"/>
        </w:rPr>
        <w:t xml:space="preserve">    │</w:t>
      </w:r>
    </w:p>
    <w:p>
      <w:pPr>
        <w:spacing w:after="60" w:before="60"/>
        <w:ind w:left="360"/>
      </w:pPr>
      <w:r>
        <w:rPr>
          <w:rFonts w:ascii="Courier New" w:cs="Courier New" w:eastAsia="Courier New" w:hAnsi="Courier New"/>
          <w:color w:val="1E1E1E"/>
          <w:sz w:val="18"/>
          <w:szCs w:val="18"/>
        </w:rPr>
        <w:t xml:space="preserve">    └──► Order Service :8003</w:t>
      </w:r>
    </w:p>
    <w:p>
      <w:pPr>
        <w:spacing w:after="60" w:before="60"/>
        <w:ind w:left="360"/>
      </w:pPr>
      <w:r>
        <w:rPr>
          <w:rFonts w:ascii="Courier New" w:cs="Courier New" w:eastAsia="Courier New" w:hAnsi="Courier New"/>
          <w:color w:val="1E1E1E"/>
          <w:sz w:val="18"/>
          <w:szCs w:val="18"/>
        </w:rPr>
        <w:t xml:space="preserve">           FastAPI · PostgreSQL · Kafka</w:t>
      </w:r>
    </w:p>
    <w:p>
      <w:pPr>
        <w:spacing w:after="60" w:before="60"/>
        <w:ind w:left="360"/>
      </w:pPr>
      <w:r>
        <w:rPr>
          <w:rFonts w:ascii="Courier New" w:cs="Courier New" w:eastAsia="Courier New" w:hAnsi="Courier New"/>
          <w:color w:val="1E1E1E"/>
          <w:sz w:val="18"/>
          <w:szCs w:val="18"/>
        </w:rPr>
        <w:t xml:space="preserve">           CQRS · Event Sourcing · Saga Pattern</w:t>
      </w:r>
    </w:p>
    <w:p>
      <w:pPr>
        <w:spacing w:after="60" w:before="60"/>
        <w:ind w:left="360"/>
      </w:pPr>
      <w:r>
        <w:rPr>
          <w:rFonts w:ascii="Courier New" w:cs="Courier New" w:eastAsia="Courier New" w:hAnsi="Courier New"/>
          <w:color w:val="1E1E1E"/>
          <w:sz w:val="18"/>
          <w:szCs w:val="18"/>
        </w:rPr>
        <w:t xml:space="preserve">               │</w:t>
      </w:r>
    </w:p>
    <w:p>
      <w:pPr>
        <w:spacing w:after="60" w:before="60"/>
        <w:ind w:left="360"/>
      </w:pPr>
      <w:r>
        <w:rPr>
          <w:rFonts w:ascii="Courier New" w:cs="Courier New" w:eastAsia="Courier New" w:hAnsi="Courier New"/>
          <w:color w:val="1E1E1E"/>
          <w:sz w:val="18"/>
          <w:szCs w:val="18"/>
        </w:rPr>
        <w:t xml:space="preserve">               ▼ Kafka events</w:t>
      </w:r>
    </w:p>
    <w:p>
      <w:pPr>
        <w:spacing w:after="60" w:before="60"/>
        <w:ind w:left="360"/>
      </w:pPr>
      <w:r>
        <w:rPr>
          <w:rFonts w:ascii="Courier New" w:cs="Courier New" w:eastAsia="Courier New" w:hAnsi="Courier New"/>
          <w:color w:val="1E1E1E"/>
          <w:sz w:val="18"/>
          <w:szCs w:val="18"/>
        </w:rPr>
        <w:t xml:space="preserve">         Notification Service :8004</w:t>
      </w:r>
    </w:p>
    <w:p>
      <w:pPr>
        <w:spacing w:after="60" w:before="60"/>
        <w:ind w:left="360"/>
      </w:pPr>
      <w:r>
        <w:rPr>
          <w:rFonts w:ascii="Courier New" w:cs="Courier New" w:eastAsia="Courier New" w:hAnsi="Courier New"/>
          <w:color w:val="1E1E1E"/>
          <w:sz w:val="18"/>
          <w:szCs w:val="18"/>
        </w:rPr>
        <w:t xml:space="preserve">               Go · WebSockets · Hub Pattern</w:t>
      </w:r>
    </w:p>
    <w:p>
      <w:r>
        <w:t xml:space="preserve"/>
      </w:r>
    </w:p>
    <w:p>
      <w:pPr>
        <w:spacing w:after="80" w:before="80"/>
      </w:pPr>
      <w:r>
        <w:rPr>
          <w:rFonts w:ascii="Arial" w:cs="Arial" w:eastAsia="Arial" w:hAnsi="Arial"/>
          <w:color w:val="404040"/>
          <w:sz w:val="22"/>
          <w:szCs w:val="22"/>
        </w:rPr>
        <w:t xml:space="preserve">Each service has its own PostgreSQL database. No service queries another service's database directly — all cross-service communication goes through HTTP APIs or Kafka events. This enforces loose coupling and independent deployability.</w:t>
      </w:r>
    </w:p>
    <w:p>
      <w:pPr>
        <w:pStyle w:val="Heading1"/>
        <w:pBdr>
          <w:bottom w:val="single" w:color="2E75B6" w:sz="6" w:space="4"/>
        </w:pBdr>
        <w:spacing w:after="200" w:before="400"/>
      </w:pPr>
      <w:r>
        <w:rPr>
          <w:rFonts w:ascii="Arial" w:cs="Arial" w:eastAsia="Arial" w:hAnsi="Arial"/>
          <w:b/>
          <w:bCs/>
          <w:color w:val="1F4E79"/>
          <w:sz w:val="36"/>
          <w:szCs w:val="36"/>
        </w:rPr>
        <w:t xml:space="preserve">3. Services</w:t>
      </w:r>
    </w:p>
    <w:p>
      <w:pPr>
        <w:pStyle w:val="Heading2"/>
        <w:spacing w:after="160" w:before="300"/>
      </w:pPr>
      <w:r>
        <w:rPr>
          <w:rFonts w:ascii="Arial" w:cs="Arial" w:eastAsia="Arial" w:hAnsi="Arial"/>
          <w:b/>
          <w:bCs/>
          <w:color w:val="2E75B6"/>
          <w:sz w:val="28"/>
          <w:szCs w:val="28"/>
        </w:rPr>
        <w:t xml:space="preserve">3.1 API Gateway</w:t>
      </w:r>
    </w:p>
    <w:p>
      <w:pPr>
        <w:spacing w:after="80" w:before="80"/>
      </w:pPr>
      <w:r>
        <w:rPr>
          <w:rFonts w:ascii="Arial" w:cs="Arial" w:eastAsia="Arial" w:hAnsi="Arial"/>
          <w:color w:val="404040"/>
          <w:sz w:val="22"/>
          <w:szCs w:val="22"/>
        </w:rPr>
        <w:t xml:space="preserve">The gateway is the single entry point for all external traffic. It is responsible for:</w:t>
      </w:r>
    </w:p>
    <w:p>
      <w:pPr>
        <w:pStyle w:val="ListParagraph"/>
        <w:numPr>
          <w:ilvl w:val="0"/>
          <w:numId w:val="2"/>
        </w:numPr>
        <w:spacing w:after="40" w:before="40"/>
      </w:pPr>
      <w:r>
        <w:rPr>
          <w:rFonts w:ascii="Arial" w:cs="Arial" w:eastAsia="Arial" w:hAnsi="Arial"/>
          <w:color w:val="404040"/>
          <w:sz w:val="22"/>
          <w:szCs w:val="22"/>
        </w:rPr>
        <w:t xml:space="preserve">JWT validation: Every request passes through the gateway. It decodes and validates the JWT, then forwards the user identity (X-User-ID, X-User-Role) as headers to downstream services.</w:t>
      </w:r>
    </w:p>
    <w:p>
      <w:pPr>
        <w:pStyle w:val="ListParagraph"/>
        <w:numPr>
          <w:ilvl w:val="0"/>
          <w:numId w:val="2"/>
        </w:numPr>
        <w:spacing w:after="40" w:before="40"/>
      </w:pPr>
      <w:r>
        <w:rPr>
          <w:rFonts w:ascii="Arial" w:cs="Arial" w:eastAsia="Arial" w:hAnsi="Arial"/>
          <w:color w:val="404040"/>
          <w:sz w:val="22"/>
          <w:szCs w:val="22"/>
        </w:rPr>
        <w:t xml:space="preserve">RBAC: Role-based access control is enforced at the gateway level. Admin-only routes are blocked before reaching the service.</w:t>
      </w:r>
    </w:p>
    <w:p>
      <w:pPr>
        <w:pStyle w:val="ListParagraph"/>
        <w:numPr>
          <w:ilvl w:val="0"/>
          <w:numId w:val="2"/>
        </w:numPr>
        <w:spacing w:after="40" w:before="40"/>
      </w:pPr>
      <w:r>
        <w:rPr>
          <w:rFonts w:ascii="Arial" w:cs="Arial" w:eastAsia="Arial" w:hAnsi="Arial"/>
          <w:color w:val="404040"/>
          <w:sz w:val="22"/>
          <w:szCs w:val="22"/>
        </w:rPr>
        <w:t xml:space="preserve">Rate limiting: Uses Redis with fastapi-limiter to enforce per-IP and per-user request limits.</w:t>
      </w:r>
    </w:p>
    <w:p>
      <w:pPr>
        <w:pStyle w:val="ListParagraph"/>
        <w:numPr>
          <w:ilvl w:val="0"/>
          <w:numId w:val="2"/>
        </w:numPr>
        <w:spacing w:after="40" w:before="40"/>
      </w:pPr>
      <w:r>
        <w:rPr>
          <w:rFonts w:ascii="Arial" w:cs="Arial" w:eastAsia="Arial" w:hAnsi="Arial"/>
          <w:color w:val="404040"/>
          <w:sz w:val="22"/>
          <w:szCs w:val="22"/>
        </w:rPr>
        <w:t xml:space="preserve">Proxying: Routes requests to the appropriate service using the httpx async HTTP client.</w:t>
      </w:r>
    </w:p>
    <w:p>
      <w:r>
        <w:t xml:space="preserve"/>
      </w:r>
    </w:p>
    <w:p>
      <w:pPr>
        <w:spacing w:after="80" w:before="80"/>
      </w:pPr>
      <w:r>
        <w:rPr>
          <w:rFonts w:ascii="Arial" w:cs="Arial" w:eastAsia="Arial" w:hAnsi="Arial"/>
          <w:color w:val="404040"/>
          <w:sz w:val="22"/>
          <w:szCs w:val="22"/>
        </w:rPr>
        <w:t xml:space="preserve">This design means downstream services trust the headers injected by the gateway and do not re-validate JWTs themselves. This follows the principle of pushing cross-cutting concerns to the edge.</w:t>
      </w:r>
    </w:p>
    <w:p>
      <w:pPr>
        <w:pStyle w:val="Heading2"/>
        <w:spacing w:after="160" w:before="300"/>
      </w:pPr>
      <w:r>
        <w:rPr>
          <w:rFonts w:ascii="Arial" w:cs="Arial" w:eastAsia="Arial" w:hAnsi="Arial"/>
          <w:b/>
          <w:bCs/>
          <w:color w:val="2E75B6"/>
          <w:sz w:val="28"/>
          <w:szCs w:val="28"/>
        </w:rPr>
        <w:t xml:space="preserve">3.2 User Service</w:t>
      </w:r>
    </w:p>
    <w:p>
      <w:pPr>
        <w:spacing w:after="80" w:before="80"/>
      </w:pPr>
      <w:r>
        <w:rPr>
          <w:rFonts w:ascii="Arial" w:cs="Arial" w:eastAsia="Arial" w:hAnsi="Arial"/>
          <w:color w:val="404040"/>
          <w:sz w:val="22"/>
          <w:szCs w:val="22"/>
        </w:rPr>
        <w:t xml:space="preserve">Handles all identity and authentication concerns:</w:t>
      </w:r>
    </w:p>
    <w:p>
      <w:pPr>
        <w:pStyle w:val="ListParagraph"/>
        <w:numPr>
          <w:ilvl w:val="0"/>
          <w:numId w:val="2"/>
        </w:numPr>
        <w:spacing w:after="40" w:before="40"/>
      </w:pPr>
      <w:r>
        <w:rPr>
          <w:rFonts w:ascii="Arial" w:cs="Arial" w:eastAsia="Arial" w:hAnsi="Arial"/>
          <w:color w:val="404040"/>
          <w:sz w:val="22"/>
          <w:szCs w:val="22"/>
        </w:rPr>
        <w:t xml:space="preserve">User registration with bcrypt password hashing</w:t>
      </w:r>
    </w:p>
    <w:p>
      <w:pPr>
        <w:pStyle w:val="ListParagraph"/>
        <w:numPr>
          <w:ilvl w:val="0"/>
          <w:numId w:val="2"/>
        </w:numPr>
        <w:spacing w:after="40" w:before="40"/>
      </w:pPr>
      <w:r>
        <w:rPr>
          <w:rFonts w:ascii="Arial" w:cs="Arial" w:eastAsia="Arial" w:hAnsi="Arial"/>
          <w:color w:val="404040"/>
          <w:sz w:val="22"/>
          <w:szCs w:val="22"/>
        </w:rPr>
        <w:t xml:space="preserve">Login with dual-token strategy: short-lived access token (30 min) + long-lived refresh token (7 days)</w:t>
      </w:r>
    </w:p>
    <w:p>
      <w:pPr>
        <w:pStyle w:val="ListParagraph"/>
        <w:numPr>
          <w:ilvl w:val="0"/>
          <w:numId w:val="2"/>
        </w:numPr>
        <w:spacing w:after="40" w:before="40"/>
      </w:pPr>
      <w:r>
        <w:rPr>
          <w:rFonts w:ascii="Arial" w:cs="Arial" w:eastAsia="Arial" w:hAnsi="Arial"/>
          <w:color w:val="404040"/>
          <w:sz w:val="22"/>
          <w:szCs w:val="22"/>
        </w:rPr>
        <w:t xml:space="preserve">Token refresh without requiring re-login</w:t>
      </w:r>
    </w:p>
    <w:p>
      <w:pPr>
        <w:pStyle w:val="ListParagraph"/>
        <w:numPr>
          <w:ilvl w:val="0"/>
          <w:numId w:val="2"/>
        </w:numPr>
        <w:spacing w:after="40" w:before="40"/>
      </w:pPr>
      <w:r>
        <w:rPr>
          <w:rFonts w:ascii="Arial" w:cs="Arial" w:eastAsia="Arial" w:hAnsi="Arial"/>
          <w:color w:val="404040"/>
          <w:sz w:val="22"/>
          <w:szCs w:val="22"/>
        </w:rPr>
        <w:t xml:space="preserve">Alembic migrations for schema versioning</w:t>
      </w:r>
    </w:p>
    <w:p>
      <w:r>
        <w:t xml:space="preserve"/>
      </w:r>
    </w:p>
    <w:p>
      <w:pPr>
        <w:spacing w:after="80" w:before="80"/>
      </w:pPr>
      <w:r>
        <w:rPr>
          <w:rFonts w:ascii="Arial" w:cs="Arial" w:eastAsia="Arial" w:hAnsi="Arial"/>
          <w:color w:val="404040"/>
          <w:sz w:val="22"/>
          <w:szCs w:val="22"/>
        </w:rPr>
        <w:t xml:space="preserve">The dual-token strategy is a deliberate security decision. Short-lived access tokens limit the damage window if a token is leaked. Refresh tokens allow sessions to persist without storing tokens server-side, maintaining a stateless architecture.</w:t>
      </w:r>
    </w:p>
    <w:p>
      <w:pPr>
        <w:pStyle w:val="Heading2"/>
        <w:spacing w:after="160" w:before="300"/>
      </w:pPr>
      <w:r>
        <w:rPr>
          <w:rFonts w:ascii="Arial" w:cs="Arial" w:eastAsia="Arial" w:hAnsi="Arial"/>
          <w:b/>
          <w:bCs/>
          <w:color w:val="2E75B6"/>
          <w:sz w:val="28"/>
          <w:szCs w:val="28"/>
        </w:rPr>
        <w:t xml:space="preserve">3.3 Product Service</w:t>
      </w:r>
    </w:p>
    <w:p>
      <w:pPr>
        <w:spacing w:after="80" w:before="80"/>
      </w:pPr>
      <w:r>
        <w:rPr>
          <w:rFonts w:ascii="Arial" w:cs="Arial" w:eastAsia="Arial" w:hAnsi="Arial"/>
          <w:color w:val="404040"/>
          <w:sz w:val="22"/>
          <w:szCs w:val="22"/>
        </w:rPr>
        <w:t xml:space="preserve">Manages the product catalog with a focus on read performance:</w:t>
      </w:r>
    </w:p>
    <w:p>
      <w:pPr>
        <w:pStyle w:val="ListParagraph"/>
        <w:numPr>
          <w:ilvl w:val="0"/>
          <w:numId w:val="2"/>
        </w:numPr>
        <w:spacing w:after="40" w:before="40"/>
      </w:pPr>
      <w:r>
        <w:rPr>
          <w:rFonts w:ascii="Arial" w:cs="Arial" w:eastAsia="Arial" w:hAnsi="Arial"/>
          <w:color w:val="404040"/>
          <w:sz w:val="22"/>
          <w:szCs w:val="22"/>
        </w:rPr>
        <w:t xml:space="preserve">CRUD for products and categories</w:t>
      </w:r>
    </w:p>
    <w:p>
      <w:pPr>
        <w:pStyle w:val="ListParagraph"/>
        <w:numPr>
          <w:ilvl w:val="0"/>
          <w:numId w:val="2"/>
        </w:numPr>
        <w:spacing w:after="40" w:before="40"/>
      </w:pPr>
      <w:r>
        <w:rPr>
          <w:rFonts w:ascii="Arial" w:cs="Arial" w:eastAsia="Arial" w:hAnsi="Arial"/>
          <w:color w:val="404040"/>
          <w:sz w:val="22"/>
          <w:szCs w:val="22"/>
        </w:rPr>
        <w:t xml:space="preserve">Redis Cache-Aside pattern: on read, check Redis first; on miss, query PostgreSQL and populate Redis; on write, invalidate cache</w:t>
      </w:r>
    </w:p>
    <w:p>
      <w:pPr>
        <w:pStyle w:val="ListParagraph"/>
        <w:numPr>
          <w:ilvl w:val="0"/>
          <w:numId w:val="2"/>
        </w:numPr>
        <w:spacing w:after="40" w:before="40"/>
      </w:pPr>
      <w:r>
        <w:rPr>
          <w:rFonts w:ascii="Arial" w:cs="Arial" w:eastAsia="Arial" w:hAnsi="Arial"/>
          <w:color w:val="404040"/>
          <w:sz w:val="22"/>
          <w:szCs w:val="22"/>
        </w:rPr>
        <w:t xml:space="preserve">Pagination and search filtering</w:t>
      </w:r>
    </w:p>
    <w:p>
      <w:pPr>
        <w:pStyle w:val="ListParagraph"/>
        <w:numPr>
          <w:ilvl w:val="0"/>
          <w:numId w:val="2"/>
        </w:numPr>
        <w:spacing w:after="40" w:before="40"/>
      </w:pPr>
      <w:r>
        <w:rPr>
          <w:rFonts w:ascii="Arial" w:cs="Arial" w:eastAsia="Arial" w:hAnsi="Arial"/>
          <w:color w:val="404040"/>
          <w:sz w:val="22"/>
          <w:szCs w:val="22"/>
        </w:rPr>
        <w:t xml:space="preserve">Soft delete: products are marked is_active=False rather than deleted, preserving referential integrity for orders</w:t>
      </w:r>
    </w:p>
    <w:p>
      <w:r>
        <w:t xml:space="preserve"/>
      </w:r>
    </w:p>
    <w:p>
      <w:pPr>
        <w:spacing w:after="80" w:before="80"/>
      </w:pPr>
      <w:r>
        <w:rPr>
          <w:rFonts w:ascii="Arial" w:cs="Arial" w:eastAsia="Arial" w:hAnsi="Arial"/>
          <w:color w:val="404040"/>
          <w:sz w:val="22"/>
          <w:szCs w:val="22"/>
        </w:rPr>
        <w:t xml:space="preserve">The Cache-Aside pattern was chosen over write-through because product updates are infrequent while reads are high-volume. This avoids unnecessary cache writes on every update.</w:t>
      </w:r>
    </w:p>
    <w:p>
      <w:pPr>
        <w:pStyle w:val="Heading2"/>
        <w:spacing w:after="160" w:before="300"/>
      </w:pPr>
      <w:r>
        <w:rPr>
          <w:rFonts w:ascii="Arial" w:cs="Arial" w:eastAsia="Arial" w:hAnsi="Arial"/>
          <w:b/>
          <w:bCs/>
          <w:color w:val="2E75B6"/>
          <w:sz w:val="28"/>
          <w:szCs w:val="28"/>
        </w:rPr>
        <w:t xml:space="preserve">3.4 Order Service</w:t>
      </w:r>
    </w:p>
    <w:p>
      <w:pPr>
        <w:spacing w:after="80" w:before="80"/>
      </w:pPr>
      <w:r>
        <w:rPr>
          <w:rFonts w:ascii="Arial" w:cs="Arial" w:eastAsia="Arial" w:hAnsi="Arial"/>
          <w:color w:val="404040"/>
          <w:sz w:val="22"/>
          <w:szCs w:val="22"/>
        </w:rPr>
        <w:t xml:space="preserve">The most architecturally complex service. Three patterns work together:</w:t>
      </w:r>
    </w:p>
    <w:p>
      <w:pPr>
        <w:pStyle w:val="Heading3"/>
        <w:spacing w:after="120" w:before="240"/>
      </w:pPr>
      <w:r>
        <w:rPr>
          <w:rFonts w:ascii="Arial" w:cs="Arial" w:eastAsia="Arial" w:hAnsi="Arial"/>
          <w:b/>
          <w:bCs/>
          <w:color w:val="404040"/>
          <w:sz w:val="24"/>
          <w:szCs w:val="24"/>
        </w:rPr>
        <w:t xml:space="preserve">CQRS (Command Query Responsibility Segregation)</w:t>
      </w:r>
    </w:p>
    <w:p>
      <w:pPr>
        <w:spacing w:after="80" w:before="80"/>
      </w:pPr>
      <w:r>
        <w:rPr>
          <w:rFonts w:ascii="Arial" w:cs="Arial" w:eastAsia="Arial" w:hAnsi="Arial"/>
          <w:color w:val="404040"/>
          <w:sz w:val="22"/>
          <w:szCs w:val="22"/>
        </w:rPr>
        <w:t xml:space="preserve">The write path (commands/) and read path (queries/) are completely separated. Commands modify state and produce events. Queries read state without side effects. This separation makes each path independently scalable and testable.</w:t>
      </w:r>
    </w:p>
    <w:p>
      <w:r>
        <w:t xml:space="preserve"/>
      </w:r>
    </w:p>
    <w:p>
      <w:pPr>
        <w:spacing w:after="60" w:before="60"/>
        <w:ind w:left="360"/>
      </w:pPr>
      <w:r>
        <w:rPr>
          <w:rFonts w:ascii="Courier New" w:cs="Courier New" w:eastAsia="Courier New" w:hAnsi="Courier New"/>
          <w:color w:val="1E1E1E"/>
          <w:sz w:val="18"/>
          <w:szCs w:val="18"/>
        </w:rPr>
        <w:t xml:space="preserve">POST /orders → OrderCommandHandler.create_order()</w:t>
      </w:r>
    </w:p>
    <w:p>
      <w:pPr>
        <w:spacing w:after="60" w:before="60"/>
        <w:ind w:left="360"/>
      </w:pPr>
      <w:r>
        <w:rPr>
          <w:rFonts w:ascii="Courier New" w:cs="Courier New" w:eastAsia="Courier New" w:hAnsi="Courier New"/>
          <w:color w:val="1E1E1E"/>
          <w:sz w:val="18"/>
          <w:szCs w:val="18"/>
        </w:rPr>
        <w:t xml:space="preserve">    → validates products (HTTP call to product-service)</w:t>
      </w:r>
    </w:p>
    <w:p>
      <w:pPr>
        <w:spacing w:after="60" w:before="60"/>
        <w:ind w:left="360"/>
      </w:pPr>
      <w:r>
        <w:rPr>
          <w:rFonts w:ascii="Courier New" w:cs="Courier New" w:eastAsia="Courier New" w:hAnsi="Courier New"/>
          <w:color w:val="1E1E1E"/>
          <w:sz w:val="18"/>
          <w:szCs w:val="18"/>
        </w:rPr>
        <w:t xml:space="preserve">    → persists Order + OrderItems</w:t>
      </w:r>
    </w:p>
    <w:p>
      <w:pPr>
        <w:spacing w:after="60" w:before="60"/>
        <w:ind w:left="360"/>
      </w:pPr>
      <w:r>
        <w:rPr>
          <w:rFonts w:ascii="Courier New" w:cs="Courier New" w:eastAsia="Courier New" w:hAnsi="Courier New"/>
          <w:color w:val="1E1E1E"/>
          <w:sz w:val="18"/>
          <w:szCs w:val="18"/>
        </w:rPr>
        <w:t xml:space="preserve">    → records ORDER_CREATED event</w:t>
      </w:r>
    </w:p>
    <w:p>
      <w:pPr>
        <w:spacing w:after="60" w:before="60"/>
        <w:ind w:left="360"/>
      </w:pPr>
      <w:r>
        <w:rPr>
          <w:rFonts w:ascii="Courier New" w:cs="Courier New" w:eastAsia="Courier New" w:hAnsi="Courier New"/>
          <w:color w:val="1E1E1E"/>
          <w:sz w:val="18"/>
          <w:szCs w:val="18"/>
        </w:rPr>
        <w:t xml:space="preserve">    → publishes Kafka event</w:t>
      </w:r>
    </w:p>
    <w:p>
      <w:pPr>
        <w:spacing w:after="60" w:before="60"/>
        <w:ind w:left="360"/>
      </w:pPr>
      <w:r>
        <w:rPr>
          <w:rFonts w:ascii="Courier New" w:cs="Courier New" w:eastAsia="Courier New" w:hAnsi="Courier New"/>
          <w:color w:val="1E1E1E"/>
          <w:sz w:val="18"/>
          <w:szCs w:val="18"/>
        </w:rPr>
        <w:t xml:space="preserve"/>
      </w:r>
    </w:p>
    <w:p>
      <w:pPr>
        <w:spacing w:after="60" w:before="60"/>
        <w:ind w:left="360"/>
      </w:pPr>
      <w:r>
        <w:rPr>
          <w:rFonts w:ascii="Courier New" w:cs="Courier New" w:eastAsia="Courier New" w:hAnsi="Courier New"/>
          <w:color w:val="1E1E1E"/>
          <w:sz w:val="18"/>
          <w:szCs w:val="18"/>
        </w:rPr>
        <w:t xml:space="preserve">GET /orders/me → OrderQueryHandler.get_by_user()</w:t>
      </w:r>
    </w:p>
    <w:p>
      <w:pPr>
        <w:spacing w:after="60" w:before="60"/>
        <w:ind w:left="360"/>
      </w:pPr>
      <w:r>
        <w:rPr>
          <w:rFonts w:ascii="Courier New" w:cs="Courier New" w:eastAsia="Courier New" w:hAnsi="Courier New"/>
          <w:color w:val="1E1E1E"/>
          <w:sz w:val="18"/>
          <w:szCs w:val="18"/>
        </w:rPr>
        <w:t xml:space="preserve">    → SELECT from orders table</w:t>
      </w:r>
    </w:p>
    <w:p>
      <w:pPr>
        <w:spacing w:after="60" w:before="60"/>
        <w:ind w:left="360"/>
      </w:pPr>
      <w:r>
        <w:rPr>
          <w:rFonts w:ascii="Courier New" w:cs="Courier New" w:eastAsia="Courier New" w:hAnsi="Courier New"/>
          <w:color w:val="1E1E1E"/>
          <w:sz w:val="18"/>
          <w:szCs w:val="18"/>
        </w:rPr>
        <w:t xml:space="preserve">    → returns paginated results</w:t>
      </w:r>
    </w:p>
    <w:p>
      <w:pPr>
        <w:pStyle w:val="Heading3"/>
        <w:spacing w:after="120" w:before="240"/>
      </w:pPr>
      <w:r>
        <w:rPr>
          <w:rFonts w:ascii="Arial" w:cs="Arial" w:eastAsia="Arial" w:hAnsi="Arial"/>
          <w:b/>
          <w:bCs/>
          <w:color w:val="404040"/>
          <w:sz w:val="24"/>
          <w:szCs w:val="24"/>
        </w:rPr>
        <w:t xml:space="preserve">Event Sourcing</w:t>
      </w:r>
    </w:p>
    <w:p>
      <w:pPr>
        <w:spacing w:after="80" w:before="80"/>
      </w:pPr>
      <w:r>
        <w:rPr>
          <w:rFonts w:ascii="Arial" w:cs="Arial" w:eastAsia="Arial" w:hAnsi="Arial"/>
          <w:color w:val="404040"/>
          <w:sz w:val="22"/>
          <w:szCs w:val="22"/>
        </w:rPr>
        <w:t xml:space="preserve">Every state change in an order produces an immutable OrderEvent record in the order_events table. The table is append-only — records are never updated or deleted. This provides a complete audit trail and allows the state of any order at any point in time to be reconstructed.</w:t>
      </w:r>
    </w:p>
    <w:p>
      <w:r>
        <w:t xml:space="preserve"/>
      </w:r>
    </w:p>
    <w:p>
      <w:pPr>
        <w:spacing w:after="60" w:before="60"/>
        <w:ind w:left="360"/>
      </w:pPr>
      <w:r>
        <w:rPr>
          <w:rFonts w:ascii="Courier New" w:cs="Courier New" w:eastAsia="Courier New" w:hAnsi="Courier New"/>
          <w:color w:val="1E1E1E"/>
          <w:sz w:val="18"/>
          <w:szCs w:val="18"/>
        </w:rPr>
        <w:t xml:space="preserve">order_events table:</w:t>
      </w:r>
    </w:p>
    <w:p>
      <w:pPr>
        <w:spacing w:after="60" w:before="60"/>
        <w:ind w:left="360"/>
      </w:pPr>
      <w:r>
        <w:rPr>
          <w:rFonts w:ascii="Courier New" w:cs="Courier New" w:eastAsia="Courier New" w:hAnsi="Courier New"/>
          <w:color w:val="1E1E1E"/>
          <w:sz w:val="18"/>
          <w:szCs w:val="18"/>
        </w:rPr>
        <w:t xml:space="preserve">  id | order_id | event_type      | event_data         | created_at</w:t>
      </w:r>
    </w:p>
    <w:p>
      <w:pPr>
        <w:spacing w:after="60" w:before="60"/>
        <w:ind w:left="360"/>
      </w:pPr>
      <w:r>
        <w:rPr>
          <w:rFonts w:ascii="Courier New" w:cs="Courier New" w:eastAsia="Courier New" w:hAnsi="Courier New"/>
          <w:color w:val="1E1E1E"/>
          <w:sz w:val="18"/>
          <w:szCs w:val="18"/>
        </w:rPr>
        <w:t xml:space="preserve">  1  | abc-123  | ORDER_CREATED   | {total: 199.98}    | 2026-05-25 01:00</w:t>
      </w:r>
    </w:p>
    <w:p>
      <w:pPr>
        <w:spacing w:after="60" w:before="60"/>
        <w:ind w:left="360"/>
      </w:pPr>
      <w:r>
        <w:rPr>
          <w:rFonts w:ascii="Courier New" w:cs="Courier New" w:eastAsia="Courier New" w:hAnsi="Courier New"/>
          <w:color w:val="1E1E1E"/>
          <w:sz w:val="18"/>
          <w:szCs w:val="18"/>
        </w:rPr>
        <w:t xml:space="preserve">  2  | abc-123  | PAYMENT_PENDING | {previous: PENDING}| 2026-05-25 01:01</w:t>
      </w:r>
    </w:p>
    <w:p>
      <w:pPr>
        <w:spacing w:after="60" w:before="60"/>
        <w:ind w:left="360"/>
      </w:pPr>
      <w:r>
        <w:rPr>
          <w:rFonts w:ascii="Courier New" w:cs="Courier New" w:eastAsia="Courier New" w:hAnsi="Courier New"/>
          <w:color w:val="1E1E1E"/>
          <w:sz w:val="18"/>
          <w:szCs w:val="18"/>
        </w:rPr>
        <w:t xml:space="preserve">  3  | abc-123  | ORDER_CONFIRMED | {previous: ...}    | 2026-05-25 01:05</w:t>
      </w:r>
    </w:p>
    <w:p>
      <w:pPr>
        <w:pStyle w:val="Heading3"/>
        <w:spacing w:after="120" w:before="240"/>
      </w:pPr>
      <w:r>
        <w:rPr>
          <w:rFonts w:ascii="Arial" w:cs="Arial" w:eastAsia="Arial" w:hAnsi="Arial"/>
          <w:b/>
          <w:bCs/>
          <w:color w:val="404040"/>
          <w:sz w:val="24"/>
          <w:szCs w:val="24"/>
        </w:rPr>
        <w:t xml:space="preserve">Saga Pattern via Kafka</w:t>
      </w:r>
    </w:p>
    <w:p>
      <w:pPr>
        <w:spacing w:after="80" w:before="80"/>
      </w:pPr>
      <w:r>
        <w:rPr>
          <w:rFonts w:ascii="Arial" w:cs="Arial" w:eastAsia="Arial" w:hAnsi="Arial"/>
          <w:color w:val="404040"/>
          <w:sz w:val="22"/>
          <w:szCs w:val="22"/>
        </w:rPr>
        <w:t xml:space="preserve">When an order is created, the service publishes an ORDER_CREATED event to Kafka. Downstream services react independently. If a step fails, a compensating event (ORDER_CANCELLED) is published. This avoids distributed transactions while maintaining eventual consistency.</w:t>
      </w:r>
    </w:p>
    <w:p>
      <w:r>
        <w:t xml:space="preserve"/>
      </w:r>
    </w:p>
    <w:p>
      <w:pPr>
        <w:spacing w:after="80" w:before="80"/>
      </w:pPr>
      <w:r>
        <w:rPr>
          <w:rFonts w:ascii="Arial" w:cs="Arial" w:eastAsia="Arial" w:hAnsi="Arial"/>
          <w:color w:val="404040"/>
          <w:sz w:val="22"/>
          <w:szCs w:val="22"/>
        </w:rPr>
        <w:t xml:space="preserve">Order status transitions are strictly validated through a state machine. An order in SHIPPED status cannot go back to PENDING, preventing invalid state corruption.</w:t>
      </w:r>
    </w:p>
    <w:p>
      <w:pPr>
        <w:pStyle w:val="Heading2"/>
        <w:spacing w:after="160" w:before="300"/>
      </w:pPr>
      <w:r>
        <w:rPr>
          <w:rFonts w:ascii="Arial" w:cs="Arial" w:eastAsia="Arial" w:hAnsi="Arial"/>
          <w:b/>
          <w:bCs/>
          <w:color w:val="2E75B6"/>
          <w:sz w:val="28"/>
          <w:szCs w:val="28"/>
        </w:rPr>
        <w:t xml:space="preserve">3.5 Notification Service (Go)</w:t>
      </w:r>
    </w:p>
    <w:p>
      <w:pPr>
        <w:spacing w:after="80" w:before="80"/>
      </w:pPr>
      <w:r>
        <w:rPr>
          <w:rFonts w:ascii="Arial" w:cs="Arial" w:eastAsia="Arial" w:hAnsi="Arial"/>
          <w:color w:val="404040"/>
          <w:sz w:val="22"/>
          <w:szCs w:val="22"/>
        </w:rPr>
        <w:t xml:space="preserve">Written in Go for a specific technical reason: concurrent WebSocket connection efficiency.</w:t>
      </w:r>
    </w:p>
    <w:p>
      <w:r>
        <w:t xml:space="preserve"/>
      </w:r>
    </w:p>
    <w:p>
      <w:pPr>
        <w:spacing w:after="80" w:before="80"/>
      </w:pPr>
      <w:r>
        <w:rPr>
          <w:rFonts w:ascii="Arial" w:cs="Arial" w:eastAsia="Arial" w:hAnsi="Arial"/>
          <w:color w:val="404040"/>
          <w:sz w:val="22"/>
          <w:szCs w:val="22"/>
        </w:rPr>
        <w:t xml:space="preserve">Python's asyncio model runs on a single OS thread. Under high concurrency (10,000+ simultaneous WebSocket connections), all coroutines compete for a single event loop. Go's goroutine model uses M:N threading — the runtime schedules N goroutines across M OS threads. Each goroutine starts with a 2KB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Memory</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Concurrency model</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Python asyncio</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~500MB</w:t>
            </w:r>
          </w:p>
        </w:tc>
        <w:tc>
          <w:tcPr>
            <w:tcW w:type="dxa" w:w="3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Single-threaded event loop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Go goroutines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~20MB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M:N threaded runtime</w:t>
            </w:r>
          </w:p>
        </w:tc>
      </w:tr>
    </w:tbl>
    <w:p>
      <w:r>
        <w:t xml:space="preserve"/>
      </w:r>
    </w:p>
    <w:p>
      <w:pPr>
        <w:spacing w:after="80" w:before="80"/>
      </w:pPr>
      <w:r>
        <w:rPr>
          <w:rFonts w:ascii="Arial" w:cs="Arial" w:eastAsia="Arial" w:hAnsi="Arial"/>
          <w:color w:val="404040"/>
          <w:sz w:val="22"/>
          <w:szCs w:val="22"/>
        </w:rPr>
        <w:t xml:space="preserve">The Hub pattern centralizes connection management. A single Hub goroutine manages all active connections via channels. Each client gets two dedicated goroutines: readPump and writePump. Channels provide thread-safe communication without explicit locks.</w:t>
      </w:r>
    </w:p>
    <w:p>
      <w:pPr>
        <w:pStyle w:val="Heading1"/>
        <w:pBdr>
          <w:bottom w:val="single" w:color="2E75B6" w:sz="6" w:space="4"/>
        </w:pBdr>
        <w:spacing w:after="200" w:before="400"/>
      </w:pPr>
      <w:r>
        <w:rPr>
          <w:rFonts w:ascii="Arial" w:cs="Arial" w:eastAsia="Arial" w:hAnsi="Arial"/>
          <w:b/>
          <w:bCs/>
          <w:color w:val="1F4E79"/>
          <w:sz w:val="36"/>
          <w:szCs w:val="36"/>
        </w:rPr>
        <w:t xml:space="preserve">4. Infrastructure</w:t>
      </w:r>
    </w:p>
    <w:p>
      <w:pPr>
        <w:pStyle w:val="Heading2"/>
        <w:spacing w:after="160" w:before="300"/>
      </w:pPr>
      <w:r>
        <w:rPr>
          <w:rFonts w:ascii="Arial" w:cs="Arial" w:eastAsia="Arial" w:hAnsi="Arial"/>
          <w:b/>
          <w:bCs/>
          <w:color w:val="2E75B6"/>
          <w:sz w:val="28"/>
          <w:szCs w:val="28"/>
        </w:rPr>
        <w:t xml:space="preserve">4.1 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Namespace</w:t>
            </w:r>
          </w:p>
        </w:tc>
        <w:tc>
          <w:tcPr>
            <w:tcW w:type="dxa" w:w="5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All resources in the 'ecommerce' namespace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Persistent Volumes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1Gi PVC per PostgreSQL instance — data survives pod restarts</w:t>
            </w:r>
          </w:p>
        </w:tc>
      </w:tr>
      <w:tr>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Resource Limits</w:t>
            </w:r>
          </w:p>
        </w:tc>
        <w:tc>
          <w:tcPr>
            <w:tcW w:type="dxa" w:w="5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CPU and memory requests/limits defined for all pods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HPA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Services scale 2 to 5-8 replicas at 70% CPU threshold</w:t>
            </w:r>
          </w:p>
        </w:tc>
      </w:tr>
      <w:tr>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Ingress</w:t>
            </w:r>
          </w:p>
        </w:tc>
        <w:tc>
          <w:tcPr>
            <w:tcW w:type="dxa" w:w="5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Subdomain routing: ecommerce.local, grafana.ecommerce.local, tracing.ecommerce.local</w:t>
            </w:r>
          </w:p>
        </w:tc>
      </w:tr>
    </w:tbl>
    <w:p>
      <w:pPr>
        <w:pStyle w:val="Heading2"/>
        <w:spacing w:after="160" w:before="300"/>
      </w:pPr>
      <w:r>
        <w:rPr>
          <w:rFonts w:ascii="Arial" w:cs="Arial" w:eastAsia="Arial" w:hAnsi="Arial"/>
          <w:b/>
          <w:bCs/>
          <w:color w:val="2E75B6"/>
          <w:sz w:val="28"/>
          <w:szCs w:val="28"/>
        </w:rPr>
        <w:t xml:space="preserve">4.2 Security</w:t>
      </w:r>
    </w:p>
    <w:p>
      <w:pPr>
        <w:pStyle w:val="Heading3"/>
        <w:spacing w:after="120" w:before="240"/>
      </w:pPr>
      <w:r>
        <w:rPr>
          <w:rFonts w:ascii="Arial" w:cs="Arial" w:eastAsia="Arial" w:hAnsi="Arial"/>
          <w:b/>
          <w:bCs/>
          <w:color w:val="404040"/>
          <w:sz w:val="24"/>
          <w:szCs w:val="24"/>
        </w:rPr>
        <w:t xml:space="preserve">Network Policies</w:t>
      </w:r>
    </w:p>
    <w:p>
      <w:pPr>
        <w:spacing w:after="80" w:before="80"/>
      </w:pPr>
      <w:r>
        <w:rPr>
          <w:rFonts w:ascii="Arial" w:cs="Arial" w:eastAsia="Arial" w:hAnsi="Arial"/>
          <w:color w:val="404040"/>
          <w:sz w:val="22"/>
          <w:szCs w:val="22"/>
        </w:rPr>
        <w:t xml:space="preserve">Five Kubernetes NetworkPolicy resources enforce pod-level firewall rules:</w:t>
      </w:r>
    </w:p>
    <w:p>
      <w:pPr>
        <w:pStyle w:val="ListParagraph"/>
        <w:numPr>
          <w:ilvl w:val="0"/>
          <w:numId w:val="2"/>
        </w:numPr>
        <w:spacing w:after="40" w:before="40"/>
      </w:pPr>
      <w:r>
        <w:rPr>
          <w:rFonts w:ascii="Arial" w:cs="Arial" w:eastAsia="Arial" w:hAnsi="Arial"/>
          <w:color w:val="404040"/>
          <w:sz w:val="22"/>
          <w:szCs w:val="22"/>
        </w:rPr>
        <w:t xml:space="preserve">user-service-policy: Only api-gateway can reach user-service. user-service can only reach user-postgres and redis.</w:t>
      </w:r>
    </w:p>
    <w:p>
      <w:pPr>
        <w:pStyle w:val="ListParagraph"/>
        <w:numPr>
          <w:ilvl w:val="0"/>
          <w:numId w:val="2"/>
        </w:numPr>
        <w:spacing w:after="40" w:before="40"/>
      </w:pPr>
      <w:r>
        <w:rPr>
          <w:rFonts w:ascii="Arial" w:cs="Arial" w:eastAsia="Arial" w:hAnsi="Arial"/>
          <w:color w:val="404040"/>
          <w:sz w:val="22"/>
          <w:szCs w:val="22"/>
        </w:rPr>
        <w:t xml:space="preserve">product-service-policy: Only api-gateway and order-service can reach product-service.</w:t>
      </w:r>
    </w:p>
    <w:p>
      <w:pPr>
        <w:pStyle w:val="ListParagraph"/>
        <w:numPr>
          <w:ilvl w:val="0"/>
          <w:numId w:val="2"/>
        </w:numPr>
        <w:spacing w:after="40" w:before="40"/>
      </w:pPr>
      <w:r>
        <w:rPr>
          <w:rFonts w:ascii="Arial" w:cs="Arial" w:eastAsia="Arial" w:hAnsi="Arial"/>
          <w:color w:val="404040"/>
          <w:sz w:val="22"/>
          <w:szCs w:val="22"/>
        </w:rPr>
        <w:t xml:space="preserve">order-service-policy: Only api-gateway can reach order-service.</w:t>
      </w:r>
    </w:p>
    <w:p>
      <w:pPr>
        <w:pStyle w:val="ListParagraph"/>
        <w:numPr>
          <w:ilvl w:val="0"/>
          <w:numId w:val="2"/>
        </w:numPr>
        <w:spacing w:after="40" w:before="40"/>
      </w:pPr>
      <w:r>
        <w:rPr>
          <w:rFonts w:ascii="Arial" w:cs="Arial" w:eastAsia="Arial" w:hAnsi="Arial"/>
          <w:color w:val="404040"/>
          <w:sz w:val="22"/>
          <w:szCs w:val="22"/>
        </w:rPr>
        <w:t xml:space="preserve">api-gateway-policy: Only ingress-nginx namespace can reach api-gateway.</w:t>
      </w:r>
    </w:p>
    <w:p>
      <w:pPr>
        <w:pStyle w:val="ListParagraph"/>
        <w:numPr>
          <w:ilvl w:val="0"/>
          <w:numId w:val="2"/>
        </w:numPr>
        <w:spacing w:after="40" w:before="40"/>
      </w:pPr>
      <w:r>
        <w:rPr>
          <w:rFonts w:ascii="Arial" w:cs="Arial" w:eastAsia="Arial" w:hAnsi="Arial"/>
          <w:color w:val="404040"/>
          <w:sz w:val="22"/>
          <w:szCs w:val="22"/>
        </w:rPr>
        <w:t xml:space="preserve">postgres-policy: Only the corresponding service can reach each PostgreSQL instance.</w:t>
      </w:r>
    </w:p>
    <w:p>
      <w:r>
        <w:t xml:space="preserve"/>
      </w:r>
    </w:p>
    <w:p>
      <w:pPr>
        <w:spacing w:after="80" w:before="80"/>
      </w:pPr>
      <w:r>
        <w:rPr>
          <w:rFonts w:ascii="Arial" w:cs="Arial" w:eastAsia="Arial" w:hAnsi="Arial"/>
          <w:color w:val="404040"/>
          <w:sz w:val="22"/>
          <w:szCs w:val="22"/>
        </w:rPr>
        <w:t xml:space="preserve">Without Network Policies, a compromised pod could query any database in the cluster. With them, lateral movement is blocked at the network level.</w:t>
      </w:r>
    </w:p>
    <w:p>
      <w:pPr>
        <w:pStyle w:val="Heading3"/>
        <w:spacing w:after="120" w:before="240"/>
      </w:pPr>
      <w:r>
        <w:rPr>
          <w:rFonts w:ascii="Arial" w:cs="Arial" w:eastAsia="Arial" w:hAnsi="Arial"/>
          <w:b/>
          <w:bCs/>
          <w:color w:val="404040"/>
          <w:sz w:val="24"/>
          <w:szCs w:val="24"/>
        </w:rPr>
        <w:t xml:space="preserve">TLS with cert-manager</w:t>
      </w:r>
    </w:p>
    <w:p>
      <w:pPr>
        <w:spacing w:after="80" w:before="80"/>
      </w:pPr>
      <w:r>
        <w:rPr>
          <w:rFonts w:ascii="Arial" w:cs="Arial" w:eastAsia="Arial" w:hAnsi="Arial"/>
          <w:color w:val="404040"/>
          <w:sz w:val="22"/>
          <w:szCs w:val="22"/>
        </w:rPr>
        <w:t xml:space="preserve">cert-manager manages TLS certificates automatically. A ClusterIssuer and Certificate resource are defined. The certificate covers all subdomains and is stored as a Kubernetes Secret. In production with a public domain, cert-manager would use Let's Encrypt for free, automatically-renewed certificates.</w:t>
      </w:r>
    </w:p>
    <w:p>
      <w:pPr>
        <w:pStyle w:val="Heading2"/>
        <w:spacing w:after="160" w:before="300"/>
      </w:pPr>
      <w:r>
        <w:rPr>
          <w:rFonts w:ascii="Arial" w:cs="Arial" w:eastAsia="Arial" w:hAnsi="Arial"/>
          <w:b/>
          <w:bCs/>
          <w:color w:val="2E75B6"/>
          <w:sz w:val="28"/>
          <w:szCs w:val="28"/>
        </w:rPr>
        <w:t xml:space="preserve">4.3 Observability</w:t>
      </w:r>
    </w:p>
    <w:p>
      <w:pPr>
        <w:pStyle w:val="Heading3"/>
        <w:spacing w:after="120" w:before="240"/>
      </w:pPr>
      <w:r>
        <w:rPr>
          <w:rFonts w:ascii="Arial" w:cs="Arial" w:eastAsia="Arial" w:hAnsi="Arial"/>
          <w:b/>
          <w:bCs/>
          <w:color w:val="404040"/>
          <w:sz w:val="24"/>
          <w:szCs w:val="24"/>
        </w:rPr>
        <w:t xml:space="preserve">Metrics — Prometheus + Grafana</w:t>
      </w:r>
    </w:p>
    <w:p>
      <w:pPr>
        <w:spacing w:after="80" w:before="80"/>
      </w:pPr>
      <w:r>
        <w:rPr>
          <w:rFonts w:ascii="Arial" w:cs="Arial" w:eastAsia="Arial" w:hAnsi="Arial"/>
          <w:color w:val="404040"/>
          <w:sz w:val="22"/>
          <w:szCs w:val="22"/>
        </w:rPr>
        <w:t xml:space="preserve">prometheus-fastapi-instrumentator auto-instruments all FastAPI services, exposing /metrics in Prometheus format. Grafana provides dashboards for request rate, latency, and error rate per service.</w:t>
      </w:r>
    </w:p>
    <w:p>
      <w:pPr>
        <w:pStyle w:val="Heading3"/>
        <w:spacing w:after="120" w:before="240"/>
      </w:pPr>
      <w:r>
        <w:rPr>
          <w:rFonts w:ascii="Arial" w:cs="Arial" w:eastAsia="Arial" w:hAnsi="Arial"/>
          <w:b/>
          <w:bCs/>
          <w:color w:val="404040"/>
          <w:sz w:val="24"/>
          <w:szCs w:val="24"/>
        </w:rPr>
        <w:t xml:space="preserve">Distributed Tracing — Jaeger + OpenTelemetry</w:t>
      </w:r>
    </w:p>
    <w:p>
      <w:pPr>
        <w:spacing w:after="80" w:before="80"/>
      </w:pPr>
      <w:r>
        <w:rPr>
          <w:rFonts w:ascii="Arial" w:cs="Arial" w:eastAsia="Arial" w:hAnsi="Arial"/>
          <w:color w:val="404040"/>
          <w:sz w:val="22"/>
          <w:szCs w:val="22"/>
        </w:rPr>
        <w:t xml:space="preserve">OpenTelemetry SDKs are installed in all four Python services. FastAPIInstrumentor automatically creates a span for every HTTP request. SQLAlchemyInstrumentor creates a span for every SQL query. All spans are exported to Jaeger via OTLP gRPC, enabling end-to-end request tracing across services:</w:t>
      </w:r>
    </w:p>
    <w:p>
      <w:r>
        <w:t xml:space="preserve"/>
      </w:r>
    </w:p>
    <w:p>
      <w:pPr>
        <w:spacing w:after="60" w:before="60"/>
        <w:ind w:left="360"/>
      </w:pPr>
      <w:r>
        <w:rPr>
          <w:rFonts w:ascii="Courier New" w:cs="Courier New" w:eastAsia="Courier New" w:hAnsi="Courier New"/>
          <w:color w:val="1E1E1E"/>
          <w:sz w:val="18"/>
          <w:szCs w:val="18"/>
        </w:rPr>
        <w:t xml:space="preserve">POST /api/orders → 3.52s</w:t>
      </w:r>
    </w:p>
    <w:p>
      <w:pPr>
        <w:spacing w:after="60" w:before="60"/>
        <w:ind w:left="360"/>
      </w:pPr>
      <w:r>
        <w:rPr>
          <w:rFonts w:ascii="Courier New" w:cs="Courier New" w:eastAsia="Courier New" w:hAnsi="Courier New"/>
          <w:color w:val="1E1E1E"/>
          <w:sz w:val="18"/>
          <w:szCs w:val="18"/>
        </w:rPr>
        <w:t xml:space="preserve">  api-gateway: receive request        5ms</w:t>
      </w:r>
    </w:p>
    <w:p>
      <w:pPr>
        <w:spacing w:after="60" w:before="60"/>
        <w:ind w:left="360"/>
      </w:pPr>
      <w:r>
        <w:rPr>
          <w:rFonts w:ascii="Courier New" w:cs="Courier New" w:eastAsia="Courier New" w:hAnsi="Courier New"/>
          <w:color w:val="1E1E1E"/>
          <w:sz w:val="18"/>
          <w:szCs w:val="18"/>
        </w:rPr>
        <w:t xml:space="preserve">  api-gateway: proxy to order-service  3.5s</w:t>
      </w:r>
    </w:p>
    <w:p>
      <w:pPr>
        <w:spacing w:after="60" w:before="60"/>
        <w:ind w:left="360"/>
      </w:pPr>
      <w:r>
        <w:rPr>
          <w:rFonts w:ascii="Courier New" w:cs="Courier New" w:eastAsia="Courier New" w:hAnsi="Courier New"/>
          <w:color w:val="1E1E1E"/>
          <w:sz w:val="18"/>
          <w:szCs w:val="18"/>
        </w:rPr>
        <w:t xml:space="preserve">    order-service: validate products   95ms</w:t>
      </w:r>
    </w:p>
    <w:p>
      <w:pPr>
        <w:spacing w:after="60" w:before="60"/>
        <w:ind w:left="360"/>
      </w:pPr>
      <w:r>
        <w:rPr>
          <w:rFonts w:ascii="Courier New" w:cs="Courier New" w:eastAsia="Courier New" w:hAnsi="Courier New"/>
          <w:color w:val="1E1E1E"/>
          <w:sz w:val="18"/>
          <w:szCs w:val="18"/>
        </w:rPr>
        <w:t xml:space="preserve">    order-service: INSERT order        12ms</w:t>
      </w:r>
    </w:p>
    <w:p>
      <w:pPr>
        <w:spacing w:after="60" w:before="60"/>
        <w:ind w:left="360"/>
      </w:pPr>
      <w:r>
        <w:rPr>
          <w:rFonts w:ascii="Courier New" w:cs="Courier New" w:eastAsia="Courier New" w:hAnsi="Courier New"/>
          <w:color w:val="1E1E1E"/>
          <w:sz w:val="18"/>
          <w:szCs w:val="18"/>
        </w:rPr>
        <w:t xml:space="preserve">    order-service: INSERT events        8ms</w:t>
      </w:r>
    </w:p>
    <w:p>
      <w:pPr>
        <w:spacing w:after="60" w:before="60"/>
        <w:ind w:left="360"/>
      </w:pPr>
      <w:r>
        <w:rPr>
          <w:rFonts w:ascii="Courier New" w:cs="Courier New" w:eastAsia="Courier New" w:hAnsi="Courier New"/>
          <w:color w:val="1E1E1E"/>
          <w:sz w:val="18"/>
          <w:szCs w:val="18"/>
        </w:rPr>
        <w:t xml:space="preserve">    order-service: publish Kafka       50ms</w:t>
      </w:r>
    </w:p>
    <w:p>
      <w:pPr>
        <w:pStyle w:val="Heading3"/>
        <w:spacing w:after="120" w:before="240"/>
      </w:pPr>
      <w:r>
        <w:rPr>
          <w:rFonts w:ascii="Arial" w:cs="Arial" w:eastAsia="Arial" w:hAnsi="Arial"/>
          <w:b/>
          <w:bCs/>
          <w:color w:val="404040"/>
          <w:sz w:val="24"/>
          <w:szCs w:val="24"/>
        </w:rPr>
        <w:t xml:space="preserve">Structured Logging</w:t>
      </w:r>
    </w:p>
    <w:p>
      <w:pPr>
        <w:spacing w:after="80" w:before="80"/>
      </w:pPr>
      <w:r>
        <w:rPr>
          <w:rFonts w:ascii="Arial" w:cs="Arial" w:eastAsia="Arial" w:hAnsi="Arial"/>
          <w:color w:val="404040"/>
          <w:sz w:val="22"/>
          <w:szCs w:val="22"/>
        </w:rPr>
        <w:t xml:space="preserve">All services use python-json-logger to emit JSON-formatted logs. Every log line includes timestamp, level, logger, and message. This makes logs queryable in Grafana Loki or any log aggregation system without regex parsing.</w:t>
      </w:r>
    </w:p>
    <w:p>
      <w:pPr>
        <w:pStyle w:val="Heading1"/>
        <w:pBdr>
          <w:bottom w:val="single" w:color="2E75B6" w:sz="6" w:space="4"/>
        </w:pBdr>
        <w:spacing w:after="200" w:before="400"/>
      </w:pPr>
      <w:r>
        <w:rPr>
          <w:rFonts w:ascii="Arial" w:cs="Arial" w:eastAsia="Arial" w:hAnsi="Arial"/>
          <w:b/>
          <w:bCs/>
          <w:color w:val="1F4E79"/>
          <w:sz w:val="36"/>
          <w:szCs w:val="36"/>
        </w:rPr>
        <w:t xml:space="preserve">5.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user-service</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16</w:t>
            </w:r>
          </w:p>
        </w:tc>
        <w:tc>
          <w:tcPr>
            <w:tcW w:type="dxa" w:w="4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Auth endpoints, JWT flow, RBAC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product-service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CRUD, pagination, search, soft delete</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order-service</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12</w:t>
            </w:r>
          </w:p>
        </w:tc>
        <w:tc>
          <w:tcPr>
            <w:tcW w:type="dxa" w:w="4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Order lifecycle, CQRS, state machine, Event Sourcing</w:t>
            </w:r>
          </w:p>
        </w:tc>
      </w:tr>
    </w:tbl>
    <w:p>
      <w:r>
        <w:t xml:space="preserve"/>
      </w:r>
    </w:p>
    <w:p>
      <w:pPr>
        <w:spacing w:after="80" w:before="80"/>
      </w:pPr>
      <w:r>
        <w:rPr>
          <w:rFonts w:ascii="Arial" w:cs="Arial" w:eastAsia="Arial" w:hAnsi="Arial"/>
          <w:color w:val="404040"/>
          <w:sz w:val="22"/>
          <w:szCs w:val="22"/>
        </w:rPr>
        <w:t xml:space="preserve">Tests use pytest-asyncio, httpx.AsyncClient with ASGITransport for in-process HTTP testing, real PostgreSQL test databases (not SQLite), and AsyncMock for Redis and Kafka. The CI/CD pipeline runs all three test suites in parallel, each with its own ephemeral PostgreSQL container. Only after all pass does the build job run, pushing five Docker images to DockerHub tagged with both latest and the git commit SHA.</w:t>
      </w:r>
    </w:p>
    <w:p>
      <w:pPr>
        <w:pStyle w:val="Heading1"/>
        <w:pBdr>
          <w:bottom w:val="single" w:color="2E75B6" w:sz="6" w:space="4"/>
        </w:pBdr>
        <w:spacing w:after="200" w:before="400"/>
      </w:pPr>
      <w:r>
        <w:rPr>
          <w:rFonts w:ascii="Arial" w:cs="Arial" w:eastAsia="Arial" w:hAnsi="Arial"/>
          <w:b/>
          <w:bCs/>
          <w:color w:val="1F4E79"/>
          <w:sz w:val="36"/>
          <w:szCs w:val="36"/>
        </w:rPr>
        <w:t xml:space="preserve">6. Key Technical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Database per service</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Enforces strict service boundaries. Each service evolves its schema independently without coordination.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Async throughout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asyncpg + aioredis allow thousands of concurrent requests on a single process without blocking.</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Go for WebSockets</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Not preference — performance. 10k connections: ~20MB in Go vs ~500MB in Python.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JWT stateless auth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 server-side session state. Gateway validates, passes identity downstream. Horizontally scalable.</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Soft delete for products</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Products referenced by orders must stay queryable. Hard deletion breaks referential integrity.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CQRS + Event Sourcing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Orders are the critical domain. Complete audit trail. Read and write paths scale independently.</w:t>
            </w:r>
          </w:p>
        </w:tc>
      </w:tr>
    </w:tbl>
    <w:p>
      <w:pPr>
        <w:pStyle w:val="Heading1"/>
        <w:pBdr>
          <w:bottom w:val="single" w:color="2E75B6" w:sz="6" w:space="4"/>
        </w:pBdr>
        <w:spacing w:after="200" w:before="400"/>
      </w:pPr>
      <w:r>
        <w:rPr>
          <w:rFonts w:ascii="Arial" w:cs="Arial" w:eastAsia="Arial" w:hAnsi="Arial"/>
          <w:b/>
          <w:bCs/>
          <w:color w:val="1F4E79"/>
          <w:sz w:val="36"/>
          <w:szCs w:val="36"/>
        </w:rPr>
        <w:t xml:space="preserve">7. Future Improvements</w:t>
      </w:r>
    </w:p>
    <w:p>
      <w:pPr>
        <w:pStyle w:val="Heading2"/>
        <w:spacing w:after="160" w:before="300"/>
      </w:pPr>
      <w:r>
        <w:rPr>
          <w:rFonts w:ascii="Arial" w:cs="Arial" w:eastAsia="Arial" w:hAnsi="Arial"/>
          <w:b/>
          <w:bCs/>
          <w:color w:val="2E75B6"/>
          <w:sz w:val="28"/>
          <w:szCs w:val="28"/>
        </w:rPr>
        <w:t xml:space="preserve">Istio Service Mesh (mTLS)</w:t>
      </w:r>
    </w:p>
    <w:p>
      <w:pPr>
        <w:spacing w:after="80" w:before="80"/>
      </w:pPr>
      <w:r>
        <w:rPr>
          <w:rFonts w:ascii="Arial" w:cs="Arial" w:eastAsia="Arial" w:hAnsi="Arial"/>
          <w:color w:val="404040"/>
          <w:sz w:val="22"/>
          <w:szCs w:val="22"/>
        </w:rPr>
        <w:t xml:space="preserve">Network Policies enforce isolation at the IP/port level but cannot verify cryptographic identity. Istio would inject an Envoy sidecar proxy into each pod, establishing mutual TLS between all services automatically. Each pod would receive a cryptographic identity — a compromised pod cannot impersonate another service even with correct labels.</w:t>
      </w:r>
    </w:p>
    <w:p>
      <w:pPr>
        <w:pStyle w:val="ListParagraph"/>
        <w:numPr>
          <w:ilvl w:val="0"/>
          <w:numId w:val="2"/>
        </w:numPr>
        <w:spacing w:after="40" w:before="40"/>
      </w:pPr>
      <w:r>
        <w:rPr>
          <w:rFonts w:ascii="Arial" w:cs="Arial" w:eastAsia="Arial" w:hAnsi="Arial"/>
          <w:color w:val="404040"/>
          <w:sz w:val="22"/>
          <w:szCs w:val="22"/>
        </w:rPr>
        <w:t xml:space="preserve">Canary deployments (e.g., 5% traffic to new version)</w:t>
      </w:r>
    </w:p>
    <w:p>
      <w:pPr>
        <w:pStyle w:val="ListParagraph"/>
        <w:numPr>
          <w:ilvl w:val="0"/>
          <w:numId w:val="2"/>
        </w:numPr>
        <w:spacing w:after="40" w:before="40"/>
      </w:pPr>
      <w:r>
        <w:rPr>
          <w:rFonts w:ascii="Arial" w:cs="Arial" w:eastAsia="Arial" w:hAnsi="Arial"/>
          <w:color w:val="404040"/>
          <w:sz w:val="22"/>
          <w:szCs w:val="22"/>
        </w:rPr>
        <w:t xml:space="preserve">Circuit breaker at the infrastructure level</w:t>
      </w:r>
    </w:p>
    <w:p>
      <w:pPr>
        <w:pStyle w:val="ListParagraph"/>
        <w:numPr>
          <w:ilvl w:val="0"/>
          <w:numId w:val="2"/>
        </w:numPr>
        <w:spacing w:after="40" w:before="40"/>
      </w:pPr>
      <w:r>
        <w:rPr>
          <w:rFonts w:ascii="Arial" w:cs="Arial" w:eastAsia="Arial" w:hAnsi="Arial"/>
          <w:color w:val="404040"/>
          <w:sz w:val="22"/>
          <w:szCs w:val="22"/>
        </w:rPr>
        <w:t xml:space="preserve">Automatic retry with exponential backoff</w:t>
      </w:r>
    </w:p>
    <w:p>
      <w:pPr>
        <w:pStyle w:val="ListParagraph"/>
        <w:numPr>
          <w:ilvl w:val="0"/>
          <w:numId w:val="2"/>
        </w:numPr>
        <w:spacing w:after="40" w:before="40"/>
      </w:pPr>
      <w:r>
        <w:rPr>
          <w:rFonts w:ascii="Arial" w:cs="Arial" w:eastAsia="Arial" w:hAnsi="Arial"/>
          <w:color w:val="404040"/>
          <w:sz w:val="22"/>
          <w:szCs w:val="22"/>
        </w:rPr>
        <w:t xml:space="preserve">Per-service rate limiting</w:t>
      </w:r>
    </w:p>
    <w:p>
      <w:pPr>
        <w:pStyle w:val="ListParagraph"/>
        <w:numPr>
          <w:ilvl w:val="0"/>
          <w:numId w:val="2"/>
        </w:numPr>
        <w:spacing w:after="40" w:before="40"/>
      </w:pPr>
      <w:r>
        <w:rPr>
          <w:rFonts w:ascii="Arial" w:cs="Arial" w:eastAsia="Arial" w:hAnsi="Arial"/>
          <w:color w:val="404040"/>
          <w:sz w:val="22"/>
          <w:szCs w:val="22"/>
        </w:rPr>
        <w:t xml:space="preserve">Requirement: 8GB+ RAM per Kubernetes node</w:t>
      </w:r>
    </w:p>
    <w:p>
      <w:pPr>
        <w:pStyle w:val="Heading2"/>
        <w:spacing w:after="160" w:before="300"/>
      </w:pPr>
      <w:r>
        <w:rPr>
          <w:rFonts w:ascii="Arial" w:cs="Arial" w:eastAsia="Arial" w:hAnsi="Arial"/>
          <w:b/>
          <w:bCs/>
          <w:color w:val="2E75B6"/>
          <w:sz w:val="28"/>
          <w:szCs w:val="28"/>
        </w:rPr>
        <w:t xml:space="preserve">Automated Kubernetes Deployment from CI/CD</w:t>
      </w:r>
    </w:p>
    <w:p>
      <w:pPr>
        <w:spacing w:after="80" w:before="80"/>
      </w:pPr>
      <w:r>
        <w:rPr>
          <w:rFonts w:ascii="Arial" w:cs="Arial" w:eastAsia="Arial" w:hAnsi="Arial"/>
          <w:color w:val="404040"/>
          <w:sz w:val="22"/>
          <w:szCs w:val="22"/>
        </w:rPr>
        <w:t xml:space="preserve">The current pipeline builds and pushes Docker images to DockerHub. The missing step is kubectl set image or kubectl rollout restart triggered from GitHub Actions after a successful build, closing the loop from code push to production deployment.</w:t>
      </w:r>
    </w:p>
    <w:p>
      <w:pPr>
        <w:pStyle w:val="Heading2"/>
        <w:spacing w:after="160" w:before="300"/>
      </w:pPr>
      <w:r>
        <w:rPr>
          <w:rFonts w:ascii="Arial" w:cs="Arial" w:eastAsia="Arial" w:hAnsi="Arial"/>
          <w:b/>
          <w:bCs/>
          <w:color w:val="2E75B6"/>
          <w:sz w:val="28"/>
          <w:szCs w:val="28"/>
        </w:rPr>
        <w:t xml:space="preserve">Staging / Production Environments</w:t>
      </w:r>
    </w:p>
    <w:p>
      <w:pPr>
        <w:spacing w:after="80" w:before="80"/>
      </w:pPr>
      <w:r>
        <w:rPr>
          <w:rFonts w:ascii="Arial" w:cs="Arial" w:eastAsia="Arial" w:hAnsi="Arial"/>
          <w:color w:val="404040"/>
          <w:sz w:val="22"/>
          <w:szCs w:val="22"/>
        </w:rPr>
        <w:t xml:space="preserve">Currently a single environment. Production systems use at minimum two environments: staging (mirrors production) and production. This would be implemented as separate Kubernetes namespaces or separate clusters.</w:t>
      </w:r>
    </w:p>
    <w:p>
      <w:pPr>
        <w:pStyle w:val="Heading2"/>
        <w:spacing w:after="160" w:before="300"/>
      </w:pPr>
      <w:r>
        <w:rPr>
          <w:rFonts w:ascii="Arial" w:cs="Arial" w:eastAsia="Arial" w:hAnsi="Arial"/>
          <w:b/>
          <w:bCs/>
          <w:color w:val="2E75B6"/>
          <w:sz w:val="28"/>
          <w:szCs w:val="28"/>
        </w:rPr>
        <w:t xml:space="preserve">Argo Rollouts</w:t>
      </w:r>
    </w:p>
    <w:p>
      <w:pPr>
        <w:spacing w:after="80" w:before="80"/>
      </w:pPr>
      <w:r>
        <w:rPr>
          <w:rFonts w:ascii="Arial" w:cs="Arial" w:eastAsia="Arial" w:hAnsi="Arial"/>
          <w:color w:val="404040"/>
          <w:sz w:val="22"/>
          <w:szCs w:val="22"/>
        </w:rPr>
        <w:t xml:space="preserve">Canary deployments without Istio. Argo Rollouts integrates with Kubernetes Deployments for gradual traffic shifting, automatic analysis, and rollback on metric degradation.</w:t>
      </w:r>
    </w:p>
    <w:p>
      <w:pPr>
        <w:pStyle w:val="Heading2"/>
        <w:spacing w:after="160" w:before="300"/>
      </w:pPr>
      <w:r>
        <w:rPr>
          <w:rFonts w:ascii="Arial" w:cs="Arial" w:eastAsia="Arial" w:hAnsi="Arial"/>
          <w:b/>
          <w:bCs/>
          <w:color w:val="2E75B6"/>
          <w:sz w:val="28"/>
          <w:szCs w:val="28"/>
        </w:rPr>
        <w:t xml:space="preserve">Velero</w:t>
      </w:r>
    </w:p>
    <w:p>
      <w:pPr>
        <w:spacing w:after="80" w:before="80"/>
      </w:pPr>
      <w:r>
        <w:rPr>
          <w:rFonts w:ascii="Arial" w:cs="Arial" w:eastAsia="Arial" w:hAnsi="Arial"/>
          <w:color w:val="404040"/>
          <w:sz w:val="22"/>
          <w:szCs w:val="22"/>
        </w:rPr>
        <w:t xml:space="preserve">Kubernetes backup and disaster recovery. Velero snapshots cluster state and persistent volumes to object storage (S3), enabling point-in-time recovery.</w:t>
      </w:r>
    </w:p>
    <w:p>
      <w:pPr>
        <w:pStyle w:val="Heading2"/>
        <w:spacing w:after="160" w:before="300"/>
      </w:pPr>
      <w:r>
        <w:rPr>
          <w:rFonts w:ascii="Arial" w:cs="Arial" w:eastAsia="Arial" w:hAnsi="Arial"/>
          <w:b/>
          <w:bCs/>
          <w:color w:val="2E75B6"/>
          <w:sz w:val="28"/>
          <w:szCs w:val="28"/>
        </w:rPr>
        <w:t xml:space="preserve">Grafana Loki</w:t>
      </w:r>
    </w:p>
    <w:p>
      <w:pPr>
        <w:spacing w:after="80" w:before="80"/>
      </w:pPr>
      <w:r>
        <w:rPr>
          <w:rFonts w:ascii="Arial" w:cs="Arial" w:eastAsia="Arial" w:hAnsi="Arial"/>
          <w:color w:val="404040"/>
          <w:sz w:val="22"/>
          <w:szCs w:val="22"/>
        </w:rPr>
        <w:t xml:space="preserve">Centralized log aggregation. Currently logs are readable via kubectl logs per pod. Loki would ingest all JSON logs, making them queryable across all services and pods simultaneously from the Grafana UI.</w:t>
      </w:r>
    </w:p>
    <w:p>
      <w:r>
        <w:br w:type="page"/>
      </w:r>
    </w:p>
    <w:p>
      <w:pPr>
        <w:spacing w:after="300" w:before="0"/>
        <w:jc w:val="center"/>
      </w:pPr>
      <w:r>
        <w:rPr>
          <w:rFonts w:ascii="Arial" w:cs="Arial" w:eastAsia="Arial" w:hAnsi="Arial"/>
          <w:b/>
          <w:bCs/>
          <w:color w:val="1F4E79"/>
          <w:sz w:val="28"/>
          <w:szCs w:val="28"/>
        </w:rPr>
        <w:t xml:space="preserve">— VERSIÓN EN ESPAÑOL —</w:t>
      </w:r>
    </w:p>
    <w:p>
      <w:pPr>
        <w:pStyle w:val="Heading1"/>
        <w:pBdr>
          <w:bottom w:val="single" w:color="2E75B6" w:sz="6" w:space="4"/>
        </w:pBdr>
        <w:spacing w:after="200" w:before="400"/>
      </w:pPr>
      <w:r>
        <w:rPr>
          <w:rFonts w:ascii="Arial" w:cs="Arial" w:eastAsia="Arial" w:hAnsi="Arial"/>
          <w:b/>
          <w:bCs/>
          <w:color w:val="1F4E79"/>
          <w:sz w:val="36"/>
          <w:szCs w:val="36"/>
        </w:rPr>
        <w:t xml:space="preserve">1. Descripción General del Proyecto</w:t>
      </w:r>
    </w:p>
    <w:p>
      <w:pPr>
        <w:spacing w:after="80" w:before="80"/>
      </w:pPr>
      <w:r>
        <w:rPr>
          <w:rFonts w:ascii="Arial" w:cs="Arial" w:eastAsia="Arial" w:hAnsi="Arial"/>
          <w:color w:val="404040"/>
          <w:sz w:val="22"/>
          <w:szCs w:val="22"/>
        </w:rPr>
        <w:t xml:space="preserve">Este proyecto es un backend de e-commerce distribuido de nivel productivo construido desde cero con arquitectura de microservicios. El objetivo fue diseñar e implementar un sistema que refleje las prácticas reales de ingeniería backend — no un tutorial, sino un sistema con los mismos patrones, herramientas y decisiones que se encuentran en entornos de producción en empresas de tecnología.</w:t>
      </w:r>
    </w:p>
    <w:p>
      <w:r>
        <w:t xml:space="preserve"/>
      </w:r>
    </w:p>
    <w:p>
      <w:pPr>
        <w:spacing w:after="80" w:before="80"/>
      </w:pPr>
      <w:r>
        <w:rPr>
          <w:rFonts w:ascii="Arial" w:cs="Arial" w:eastAsia="Arial" w:hAnsi="Arial"/>
          <w:color w:val="404040"/>
          <w:sz w:val="22"/>
          <w:szCs w:val="22"/>
        </w:rPr>
        <w:t xml:space="preserve">El sistema maneja autenticación de usuarios, gestión del catálogo de productos, procesamiento de órdenes y notificaciones en tiempo real. Cada responsabilidad está aislada en su propio servicio, con su propia base de datos, desplegado independientemente en Kubernetes.</w:t>
      </w:r>
    </w:p>
    <w:p>
      <w:pPr>
        <w:pStyle w:val="Heading1"/>
        <w:pBdr>
          <w:bottom w:val="single" w:color="2E75B6" w:sz="6" w:space="4"/>
        </w:pBdr>
        <w:spacing w:after="200" w:before="400"/>
      </w:pPr>
      <w:r>
        <w:rPr>
          <w:rFonts w:ascii="Arial" w:cs="Arial" w:eastAsia="Arial" w:hAnsi="Arial"/>
          <w:b/>
          <w:bCs/>
          <w:color w:val="1F4E79"/>
          <w:sz w:val="36"/>
          <w:szCs w:val="36"/>
        </w:rPr>
        <w:t xml:space="preserve">2. Arquitectura del Sistema</w:t>
      </w:r>
    </w:p>
    <w:p>
      <w:pPr>
        <w:spacing w:after="60" w:before="60"/>
        <w:ind w:left="360"/>
      </w:pPr>
      <w:r>
        <w:rPr>
          <w:rFonts w:ascii="Courier New" w:cs="Courier New" w:eastAsia="Courier New" w:hAnsi="Courier New"/>
          <w:color w:val="1E1E1E"/>
          <w:sz w:val="18"/>
          <w:szCs w:val="18"/>
        </w:rPr>
        <w:t xml:space="preserve">Internet</w:t>
      </w:r>
    </w:p>
    <w:p>
      <w:pPr>
        <w:spacing w:after="60" w:before="60"/>
        <w:ind w:left="360"/>
      </w:pPr>
      <w:r>
        <w:rPr>
          <w:rFonts w:ascii="Courier New" w:cs="Courier New" w:eastAsia="Courier New" w:hAnsi="Courier New"/>
          <w:color w:val="1E1E1E"/>
          <w:sz w:val="18"/>
          <w:szCs w:val="18"/>
        </w:rPr>
        <w:t xml:space="preserve">    │</w:t>
      </w:r>
    </w:p>
    <w:p>
      <w:pPr>
        <w:spacing w:after="60" w:before="60"/>
        <w:ind w:left="360"/>
      </w:pPr>
      <w:r>
        <w:rPr>
          <w:rFonts w:ascii="Courier New" w:cs="Courier New" w:eastAsia="Courier New" w:hAnsi="Courier New"/>
          <w:color w:val="1E1E1E"/>
          <w:sz w:val="18"/>
          <w:szCs w:val="18"/>
        </w:rPr>
        <w:t xml:space="preserve">    ▼</w:t>
      </w:r>
    </w:p>
    <w:p>
      <w:pPr>
        <w:spacing w:after="60" w:before="60"/>
        <w:ind w:left="360"/>
      </w:pPr>
      <w:r>
        <w:rPr>
          <w:rFonts w:ascii="Courier New" w:cs="Courier New" w:eastAsia="Courier New" w:hAnsi="Courier New"/>
          <w:color w:val="1E1E1E"/>
          <w:sz w:val="18"/>
          <w:szCs w:val="18"/>
        </w:rPr>
        <w:t xml:space="preserve">Ingress Controller (nginx)</w:t>
      </w:r>
    </w:p>
    <w:p>
      <w:pPr>
        <w:spacing w:after="60" w:before="60"/>
        <w:ind w:left="360"/>
      </w:pPr>
      <w:r>
        <w:rPr>
          <w:rFonts w:ascii="Courier New" w:cs="Courier New" w:eastAsia="Courier New" w:hAnsi="Courier New"/>
          <w:color w:val="1E1E1E"/>
          <w:sz w:val="18"/>
          <w:szCs w:val="18"/>
        </w:rPr>
        <w:t xml:space="preserve">    │  Enrutamiento por subdominio + terminación TLS</w:t>
      </w:r>
    </w:p>
    <w:p>
      <w:pPr>
        <w:spacing w:after="60" w:before="60"/>
        <w:ind w:left="360"/>
      </w:pPr>
      <w:r>
        <w:rPr>
          <w:rFonts w:ascii="Courier New" w:cs="Courier New" w:eastAsia="Courier New" w:hAnsi="Courier New"/>
          <w:color w:val="1E1E1E"/>
          <w:sz w:val="18"/>
          <w:szCs w:val="18"/>
        </w:rPr>
        <w:t xml:space="preserve">    ▼</w:t>
      </w:r>
    </w:p>
    <w:p>
      <w:pPr>
        <w:spacing w:after="60" w:before="60"/>
        <w:ind w:left="360"/>
      </w:pPr>
      <w:r>
        <w:rPr>
          <w:rFonts w:ascii="Courier New" w:cs="Courier New" w:eastAsia="Courier New" w:hAnsi="Courier New"/>
          <w:color w:val="1E1E1E"/>
          <w:sz w:val="18"/>
          <w:szCs w:val="18"/>
        </w:rPr>
        <w:t xml:space="preserve">API Gateway :8000</w:t>
      </w:r>
    </w:p>
    <w:p>
      <w:pPr>
        <w:spacing w:after="60" w:before="60"/>
        <w:ind w:left="360"/>
      </w:pPr>
      <w:r>
        <w:rPr>
          <w:rFonts w:ascii="Courier New" w:cs="Courier New" w:eastAsia="Courier New" w:hAnsi="Courier New"/>
          <w:color w:val="1E1E1E"/>
          <w:sz w:val="18"/>
          <w:szCs w:val="18"/>
        </w:rPr>
        <w:t xml:space="preserve">    │  Validación JWT · RBAC · Rate limiting</w:t>
      </w:r>
    </w:p>
    <w:p>
      <w:pPr>
        <w:spacing w:after="60" w:before="60"/>
        <w:ind w:left="360"/>
      </w:pPr>
      <w:r>
        <w:rPr>
          <w:rFonts w:ascii="Courier New" w:cs="Courier New" w:eastAsia="Courier New" w:hAnsi="Courier New"/>
          <w:color w:val="1E1E1E"/>
          <w:sz w:val="18"/>
          <w:szCs w:val="18"/>
        </w:rPr>
        <w:t xml:space="preserve">    │</w:t>
      </w:r>
    </w:p>
    <w:p>
      <w:pPr>
        <w:spacing w:after="60" w:before="60"/>
        <w:ind w:left="360"/>
      </w:pPr>
      <w:r>
        <w:rPr>
          <w:rFonts w:ascii="Courier New" w:cs="Courier New" w:eastAsia="Courier New" w:hAnsi="Courier New"/>
          <w:color w:val="1E1E1E"/>
          <w:sz w:val="18"/>
          <w:szCs w:val="18"/>
        </w:rPr>
        <w:t xml:space="preserve">    ├──► User Service :8001</w:t>
      </w:r>
    </w:p>
    <w:p>
      <w:pPr>
        <w:spacing w:after="60" w:before="60"/>
        <w:ind w:left="360"/>
      </w:pPr>
      <w:r>
        <w:rPr>
          <w:rFonts w:ascii="Courier New" w:cs="Courier New" w:eastAsia="Courier New" w:hAnsi="Courier New"/>
          <w:color w:val="1E1E1E"/>
          <w:sz w:val="18"/>
          <w:szCs w:val="18"/>
        </w:rPr>
        <w:t xml:space="preserve">    │      FastAPI · PostgreSQL · bcrypt · JWT</w:t>
      </w:r>
    </w:p>
    <w:p>
      <w:pPr>
        <w:spacing w:after="60" w:before="60"/>
        <w:ind w:left="360"/>
      </w:pPr>
      <w:r>
        <w:rPr>
          <w:rFonts w:ascii="Courier New" w:cs="Courier New" w:eastAsia="Courier New" w:hAnsi="Courier New"/>
          <w:color w:val="1E1E1E"/>
          <w:sz w:val="18"/>
          <w:szCs w:val="18"/>
        </w:rPr>
        <w:t xml:space="preserve">    │</w:t>
      </w:r>
    </w:p>
    <w:p>
      <w:pPr>
        <w:spacing w:after="60" w:before="60"/>
        <w:ind w:left="360"/>
      </w:pPr>
      <w:r>
        <w:rPr>
          <w:rFonts w:ascii="Courier New" w:cs="Courier New" w:eastAsia="Courier New" w:hAnsi="Courier New"/>
          <w:color w:val="1E1E1E"/>
          <w:sz w:val="18"/>
          <w:szCs w:val="18"/>
        </w:rPr>
        <w:t xml:space="preserve">    ├──► Product Service :8002</w:t>
      </w:r>
    </w:p>
    <w:p>
      <w:pPr>
        <w:spacing w:after="60" w:before="60"/>
        <w:ind w:left="360"/>
      </w:pPr>
      <w:r>
        <w:rPr>
          <w:rFonts w:ascii="Courier New" w:cs="Courier New" w:eastAsia="Courier New" w:hAnsi="Courier New"/>
          <w:color w:val="1E1E1E"/>
          <w:sz w:val="18"/>
          <w:szCs w:val="18"/>
        </w:rPr>
        <w:t xml:space="preserve">    │      FastAPI · PostgreSQL · Redis Cache-Aside</w:t>
      </w:r>
    </w:p>
    <w:p>
      <w:pPr>
        <w:spacing w:after="60" w:before="60"/>
        <w:ind w:left="360"/>
      </w:pPr>
      <w:r>
        <w:rPr>
          <w:rFonts w:ascii="Courier New" w:cs="Courier New" w:eastAsia="Courier New" w:hAnsi="Courier New"/>
          <w:color w:val="1E1E1E"/>
          <w:sz w:val="18"/>
          <w:szCs w:val="18"/>
        </w:rPr>
        <w:t xml:space="preserve">    │</w:t>
      </w:r>
    </w:p>
    <w:p>
      <w:pPr>
        <w:spacing w:after="60" w:before="60"/>
        <w:ind w:left="360"/>
      </w:pPr>
      <w:r>
        <w:rPr>
          <w:rFonts w:ascii="Courier New" w:cs="Courier New" w:eastAsia="Courier New" w:hAnsi="Courier New"/>
          <w:color w:val="1E1E1E"/>
          <w:sz w:val="18"/>
          <w:szCs w:val="18"/>
        </w:rPr>
        <w:t xml:space="preserve">    └──► Order Service :8003</w:t>
      </w:r>
    </w:p>
    <w:p>
      <w:pPr>
        <w:spacing w:after="60" w:before="60"/>
        <w:ind w:left="360"/>
      </w:pPr>
      <w:r>
        <w:rPr>
          <w:rFonts w:ascii="Courier New" w:cs="Courier New" w:eastAsia="Courier New" w:hAnsi="Courier New"/>
          <w:color w:val="1E1E1E"/>
          <w:sz w:val="18"/>
          <w:szCs w:val="18"/>
        </w:rPr>
        <w:t xml:space="preserve">           FastAPI · PostgreSQL · Kafka</w:t>
      </w:r>
    </w:p>
    <w:p>
      <w:pPr>
        <w:spacing w:after="60" w:before="60"/>
        <w:ind w:left="360"/>
      </w:pPr>
      <w:r>
        <w:rPr>
          <w:rFonts w:ascii="Courier New" w:cs="Courier New" w:eastAsia="Courier New" w:hAnsi="Courier New"/>
          <w:color w:val="1E1E1E"/>
          <w:sz w:val="18"/>
          <w:szCs w:val="18"/>
        </w:rPr>
        <w:t xml:space="preserve">           CQRS · Event Sourcing · Saga Pattern</w:t>
      </w:r>
    </w:p>
    <w:p>
      <w:pPr>
        <w:spacing w:after="60" w:before="60"/>
        <w:ind w:left="360"/>
      </w:pPr>
      <w:r>
        <w:rPr>
          <w:rFonts w:ascii="Courier New" w:cs="Courier New" w:eastAsia="Courier New" w:hAnsi="Courier New"/>
          <w:color w:val="1E1E1E"/>
          <w:sz w:val="18"/>
          <w:szCs w:val="18"/>
        </w:rPr>
        <w:t xml:space="preserve">               │</w:t>
      </w:r>
    </w:p>
    <w:p>
      <w:pPr>
        <w:spacing w:after="60" w:before="60"/>
        <w:ind w:left="360"/>
      </w:pPr>
      <w:r>
        <w:rPr>
          <w:rFonts w:ascii="Courier New" w:cs="Courier New" w:eastAsia="Courier New" w:hAnsi="Courier New"/>
          <w:color w:val="1E1E1E"/>
          <w:sz w:val="18"/>
          <w:szCs w:val="18"/>
        </w:rPr>
        <w:t xml:space="preserve">               ▼ Eventos Kafka</w:t>
      </w:r>
    </w:p>
    <w:p>
      <w:pPr>
        <w:spacing w:after="60" w:before="60"/>
        <w:ind w:left="360"/>
      </w:pPr>
      <w:r>
        <w:rPr>
          <w:rFonts w:ascii="Courier New" w:cs="Courier New" w:eastAsia="Courier New" w:hAnsi="Courier New"/>
          <w:color w:val="1E1E1E"/>
          <w:sz w:val="18"/>
          <w:szCs w:val="18"/>
        </w:rPr>
        <w:t xml:space="preserve">         Notification Service :8004</w:t>
      </w:r>
    </w:p>
    <w:p>
      <w:pPr>
        <w:spacing w:after="60" w:before="60"/>
        <w:ind w:left="360"/>
      </w:pPr>
      <w:r>
        <w:rPr>
          <w:rFonts w:ascii="Courier New" w:cs="Courier New" w:eastAsia="Courier New" w:hAnsi="Courier New"/>
          <w:color w:val="1E1E1E"/>
          <w:sz w:val="18"/>
          <w:szCs w:val="18"/>
        </w:rPr>
        <w:t xml:space="preserve">               Go · WebSockets · Hub Pattern</w:t>
      </w:r>
    </w:p>
    <w:p>
      <w:r>
        <w:t xml:space="preserve"/>
      </w:r>
    </w:p>
    <w:p>
      <w:pPr>
        <w:spacing w:after="80" w:before="80"/>
      </w:pPr>
      <w:r>
        <w:rPr>
          <w:rFonts w:ascii="Arial" w:cs="Arial" w:eastAsia="Arial" w:hAnsi="Arial"/>
          <w:color w:val="404040"/>
          <w:sz w:val="22"/>
          <w:szCs w:val="22"/>
        </w:rPr>
        <w:t xml:space="preserve">Cada servicio tiene su propia base de datos PostgreSQL. Ningún servicio consulta directamente la base de datos de otro — toda la comunicación entre servicios va a través de APIs HTTP o eventos Kafka. Esto refuerza el acoplamiento débil y la capacidad de despliegue independiente.</w:t>
      </w:r>
    </w:p>
    <w:p>
      <w:pPr>
        <w:pStyle w:val="Heading1"/>
        <w:pBdr>
          <w:bottom w:val="single" w:color="2E75B6" w:sz="6" w:space="4"/>
        </w:pBdr>
        <w:spacing w:after="200" w:before="400"/>
      </w:pPr>
      <w:r>
        <w:rPr>
          <w:rFonts w:ascii="Arial" w:cs="Arial" w:eastAsia="Arial" w:hAnsi="Arial"/>
          <w:b/>
          <w:bCs/>
          <w:color w:val="1F4E79"/>
          <w:sz w:val="36"/>
          <w:szCs w:val="36"/>
        </w:rPr>
        <w:t xml:space="preserve">3. Servicios</w:t>
      </w:r>
    </w:p>
    <w:p>
      <w:pPr>
        <w:pStyle w:val="Heading2"/>
        <w:spacing w:after="160" w:before="300"/>
      </w:pPr>
      <w:r>
        <w:rPr>
          <w:rFonts w:ascii="Arial" w:cs="Arial" w:eastAsia="Arial" w:hAnsi="Arial"/>
          <w:b/>
          <w:bCs/>
          <w:color w:val="2E75B6"/>
          <w:sz w:val="28"/>
          <w:szCs w:val="28"/>
        </w:rPr>
        <w:t xml:space="preserve">3.1 API Gateway</w:t>
      </w:r>
    </w:p>
    <w:p>
      <w:pPr>
        <w:spacing w:after="80" w:before="80"/>
      </w:pPr>
      <w:r>
        <w:rPr>
          <w:rFonts w:ascii="Arial" w:cs="Arial" w:eastAsia="Arial" w:hAnsi="Arial"/>
          <w:color w:val="404040"/>
          <w:sz w:val="22"/>
          <w:szCs w:val="22"/>
        </w:rPr>
        <w:t xml:space="preserve">El gateway es el punto de entrada único para todo el tráfico externo. Es responsable de:</w:t>
      </w:r>
    </w:p>
    <w:p>
      <w:pPr>
        <w:pStyle w:val="ListParagraph"/>
        <w:numPr>
          <w:ilvl w:val="0"/>
          <w:numId w:val="2"/>
        </w:numPr>
        <w:spacing w:after="40" w:before="40"/>
      </w:pPr>
      <w:r>
        <w:rPr>
          <w:rFonts w:ascii="Arial" w:cs="Arial" w:eastAsia="Arial" w:hAnsi="Arial"/>
          <w:color w:val="404040"/>
          <w:sz w:val="22"/>
          <w:szCs w:val="22"/>
        </w:rPr>
        <w:t xml:space="preserve">Validación JWT: Cada solicitud pasa por el gateway. Decodifica y valida el JWT, luego reenvía la identidad del usuario (X-User-ID, X-User-Role) como headers a los servicios aguas abajo.</w:t>
      </w:r>
    </w:p>
    <w:p>
      <w:pPr>
        <w:pStyle w:val="ListParagraph"/>
        <w:numPr>
          <w:ilvl w:val="0"/>
          <w:numId w:val="2"/>
        </w:numPr>
        <w:spacing w:after="40" w:before="40"/>
      </w:pPr>
      <w:r>
        <w:rPr>
          <w:rFonts w:ascii="Arial" w:cs="Arial" w:eastAsia="Arial" w:hAnsi="Arial"/>
          <w:color w:val="404040"/>
          <w:sz w:val="22"/>
          <w:szCs w:val="22"/>
        </w:rPr>
        <w:t xml:space="preserve">RBAC: El control de acceso basado en roles se aplica a nivel del gateway. Las rutas solo para administradores se bloquean antes de llegar al servicio.</w:t>
      </w:r>
    </w:p>
    <w:p>
      <w:pPr>
        <w:pStyle w:val="ListParagraph"/>
        <w:numPr>
          <w:ilvl w:val="0"/>
          <w:numId w:val="2"/>
        </w:numPr>
        <w:spacing w:after="40" w:before="40"/>
      </w:pPr>
      <w:r>
        <w:rPr>
          <w:rFonts w:ascii="Arial" w:cs="Arial" w:eastAsia="Arial" w:hAnsi="Arial"/>
          <w:color w:val="404040"/>
          <w:sz w:val="22"/>
          <w:szCs w:val="22"/>
        </w:rPr>
        <w:t xml:space="preserve">Rate Limiting: Usa Redis con fastapi-limiter para aplicar límites de solicitudes por IP y por usuario.</w:t>
      </w:r>
    </w:p>
    <w:p>
      <w:pPr>
        <w:pStyle w:val="ListParagraph"/>
        <w:numPr>
          <w:ilvl w:val="0"/>
          <w:numId w:val="2"/>
        </w:numPr>
        <w:spacing w:after="40" w:before="40"/>
      </w:pPr>
      <w:r>
        <w:rPr>
          <w:rFonts w:ascii="Arial" w:cs="Arial" w:eastAsia="Arial" w:hAnsi="Arial"/>
          <w:color w:val="404040"/>
          <w:sz w:val="22"/>
          <w:szCs w:val="22"/>
        </w:rPr>
        <w:t xml:space="preserve">Proxy: Enruta las solicitudes al servicio apropiado usando el cliente HTTP async httpx.</w:t>
      </w:r>
    </w:p>
    <w:p>
      <w:pPr>
        <w:pStyle w:val="Heading2"/>
        <w:spacing w:after="160" w:before="300"/>
      </w:pPr>
      <w:r>
        <w:rPr>
          <w:rFonts w:ascii="Arial" w:cs="Arial" w:eastAsia="Arial" w:hAnsi="Arial"/>
          <w:b/>
          <w:bCs/>
          <w:color w:val="2E75B6"/>
          <w:sz w:val="28"/>
          <w:szCs w:val="28"/>
        </w:rPr>
        <w:t xml:space="preserve">3.2 User Service</w:t>
      </w:r>
    </w:p>
    <w:p>
      <w:pPr>
        <w:spacing w:after="80" w:before="80"/>
      </w:pPr>
      <w:r>
        <w:rPr>
          <w:rFonts w:ascii="Arial" w:cs="Arial" w:eastAsia="Arial" w:hAnsi="Arial"/>
          <w:color w:val="404040"/>
          <w:sz w:val="22"/>
          <w:szCs w:val="22"/>
        </w:rPr>
        <w:t xml:space="preserve">Maneja todas las preocupaciones de identidad y autenticación:</w:t>
      </w:r>
    </w:p>
    <w:p>
      <w:pPr>
        <w:pStyle w:val="ListParagraph"/>
        <w:numPr>
          <w:ilvl w:val="0"/>
          <w:numId w:val="2"/>
        </w:numPr>
        <w:spacing w:after="40" w:before="40"/>
      </w:pPr>
      <w:r>
        <w:rPr>
          <w:rFonts w:ascii="Arial" w:cs="Arial" w:eastAsia="Arial" w:hAnsi="Arial"/>
          <w:color w:val="404040"/>
          <w:sz w:val="22"/>
          <w:szCs w:val="22"/>
        </w:rPr>
        <w:t xml:space="preserve">Registro de usuarios con hash de contraseñas usando bcrypt</w:t>
      </w:r>
    </w:p>
    <w:p>
      <w:pPr>
        <w:pStyle w:val="ListParagraph"/>
        <w:numPr>
          <w:ilvl w:val="0"/>
          <w:numId w:val="2"/>
        </w:numPr>
        <w:spacing w:after="40" w:before="40"/>
      </w:pPr>
      <w:r>
        <w:rPr>
          <w:rFonts w:ascii="Arial" w:cs="Arial" w:eastAsia="Arial" w:hAnsi="Arial"/>
          <w:color w:val="404040"/>
          <w:sz w:val="22"/>
          <w:szCs w:val="22"/>
        </w:rPr>
        <w:t xml:space="preserve">Login con estrategia de doble token: access token de corta duración (30 min) + refresh token de larga duración (7 días)</w:t>
      </w:r>
    </w:p>
    <w:p>
      <w:pPr>
        <w:pStyle w:val="ListParagraph"/>
        <w:numPr>
          <w:ilvl w:val="0"/>
          <w:numId w:val="2"/>
        </w:numPr>
        <w:spacing w:after="40" w:before="40"/>
      </w:pPr>
      <w:r>
        <w:rPr>
          <w:rFonts w:ascii="Arial" w:cs="Arial" w:eastAsia="Arial" w:hAnsi="Arial"/>
          <w:color w:val="404040"/>
          <w:sz w:val="22"/>
          <w:szCs w:val="22"/>
        </w:rPr>
        <w:t xml:space="preserve">Renovación de token sin requerir nuevo inicio de sesión</w:t>
      </w:r>
    </w:p>
    <w:p>
      <w:pPr>
        <w:pStyle w:val="ListParagraph"/>
        <w:numPr>
          <w:ilvl w:val="0"/>
          <w:numId w:val="2"/>
        </w:numPr>
        <w:spacing w:after="40" w:before="40"/>
      </w:pPr>
      <w:r>
        <w:rPr>
          <w:rFonts w:ascii="Arial" w:cs="Arial" w:eastAsia="Arial" w:hAnsi="Arial"/>
          <w:color w:val="404040"/>
          <w:sz w:val="22"/>
          <w:szCs w:val="22"/>
        </w:rPr>
        <w:t xml:space="preserve">Migraciones de base de datos con Alembic</w:t>
      </w:r>
    </w:p>
    <w:p>
      <w:r>
        <w:t xml:space="preserve"/>
      </w:r>
    </w:p>
    <w:p>
      <w:pPr>
        <w:spacing w:after="80" w:before="80"/>
      </w:pPr>
      <w:r>
        <w:rPr>
          <w:rFonts w:ascii="Arial" w:cs="Arial" w:eastAsia="Arial" w:hAnsi="Arial"/>
          <w:color w:val="404040"/>
          <w:sz w:val="22"/>
          <w:szCs w:val="22"/>
        </w:rPr>
        <w:t xml:space="preserve">La estrategia de doble token es una decisión deliberada de seguridad. Los access tokens de corta duración limitan el daño si un token se filtra. Los refresh tokens permiten que las sesiones persistan sin almacenar tokens en el servidor (arquitectura sin estado).</w:t>
      </w:r>
    </w:p>
    <w:p>
      <w:pPr>
        <w:pStyle w:val="Heading2"/>
        <w:spacing w:after="160" w:before="300"/>
      </w:pPr>
      <w:r>
        <w:rPr>
          <w:rFonts w:ascii="Arial" w:cs="Arial" w:eastAsia="Arial" w:hAnsi="Arial"/>
          <w:b/>
          <w:bCs/>
          <w:color w:val="2E75B6"/>
          <w:sz w:val="28"/>
          <w:szCs w:val="28"/>
        </w:rPr>
        <w:t xml:space="preserve">3.3 Product Service</w:t>
      </w:r>
    </w:p>
    <w:p>
      <w:pPr>
        <w:pStyle w:val="ListParagraph"/>
        <w:numPr>
          <w:ilvl w:val="0"/>
          <w:numId w:val="2"/>
        </w:numPr>
        <w:spacing w:after="40" w:before="40"/>
      </w:pPr>
      <w:r>
        <w:rPr>
          <w:rFonts w:ascii="Arial" w:cs="Arial" w:eastAsia="Arial" w:hAnsi="Arial"/>
          <w:color w:val="404040"/>
          <w:sz w:val="22"/>
          <w:szCs w:val="22"/>
        </w:rPr>
        <w:t xml:space="preserve">CRUD para productos y categorías</w:t>
      </w:r>
    </w:p>
    <w:p>
      <w:pPr>
        <w:pStyle w:val="ListParagraph"/>
        <w:numPr>
          <w:ilvl w:val="0"/>
          <w:numId w:val="2"/>
        </w:numPr>
        <w:spacing w:after="40" w:before="40"/>
      </w:pPr>
      <w:r>
        <w:rPr>
          <w:rFonts w:ascii="Arial" w:cs="Arial" w:eastAsia="Arial" w:hAnsi="Arial"/>
          <w:color w:val="404040"/>
          <w:sz w:val="22"/>
          <w:szCs w:val="22"/>
        </w:rPr>
        <w:t xml:space="preserve">Patrón Cache-Aside con Redis: en lectura verificar Redis primero; si no hay hit, consultar PostgreSQL y poblar Redis; en escritura, invalidar caché</w:t>
      </w:r>
    </w:p>
    <w:p>
      <w:pPr>
        <w:pStyle w:val="ListParagraph"/>
        <w:numPr>
          <w:ilvl w:val="0"/>
          <w:numId w:val="2"/>
        </w:numPr>
        <w:spacing w:after="40" w:before="40"/>
      </w:pPr>
      <w:r>
        <w:rPr>
          <w:rFonts w:ascii="Arial" w:cs="Arial" w:eastAsia="Arial" w:hAnsi="Arial"/>
          <w:color w:val="404040"/>
          <w:sz w:val="22"/>
          <w:szCs w:val="22"/>
        </w:rPr>
        <w:t xml:space="preserve">Paginación y filtrado por búsqueda</w:t>
      </w:r>
    </w:p>
    <w:p>
      <w:pPr>
        <w:pStyle w:val="ListParagraph"/>
        <w:numPr>
          <w:ilvl w:val="0"/>
          <w:numId w:val="2"/>
        </w:numPr>
        <w:spacing w:after="40" w:before="40"/>
      </w:pPr>
      <w:r>
        <w:rPr>
          <w:rFonts w:ascii="Arial" w:cs="Arial" w:eastAsia="Arial" w:hAnsi="Arial"/>
          <w:color w:val="404040"/>
          <w:sz w:val="22"/>
          <w:szCs w:val="22"/>
        </w:rPr>
        <w:t xml:space="preserve">Soft delete: productos marcados is_active=False en lugar de eliminarse</w:t>
      </w:r>
    </w:p>
    <w:p>
      <w:pPr>
        <w:pStyle w:val="Heading2"/>
        <w:spacing w:after="160" w:before="300"/>
      </w:pPr>
      <w:r>
        <w:rPr>
          <w:rFonts w:ascii="Arial" w:cs="Arial" w:eastAsia="Arial" w:hAnsi="Arial"/>
          <w:b/>
          <w:bCs/>
          <w:color w:val="2E75B6"/>
          <w:sz w:val="28"/>
          <w:szCs w:val="28"/>
        </w:rPr>
        <w:t xml:space="preserve">3.4 Order Service</w:t>
      </w:r>
    </w:p>
    <w:p>
      <w:pPr>
        <w:spacing w:after="80" w:before="80"/>
      </w:pPr>
      <w:r>
        <w:rPr>
          <w:rFonts w:ascii="Arial" w:cs="Arial" w:eastAsia="Arial" w:hAnsi="Arial"/>
          <w:color w:val="404040"/>
          <w:sz w:val="22"/>
          <w:szCs w:val="22"/>
        </w:rPr>
        <w:t xml:space="preserve">El servicio más complejo arquitectónicamente. Tres patrones trabajan juntos:</w:t>
      </w:r>
    </w:p>
    <w:p>
      <w:pPr>
        <w:pStyle w:val="Heading3"/>
        <w:spacing w:after="120" w:before="240"/>
      </w:pPr>
      <w:r>
        <w:rPr>
          <w:rFonts w:ascii="Arial" w:cs="Arial" w:eastAsia="Arial" w:hAnsi="Arial"/>
          <w:b/>
          <w:bCs/>
          <w:color w:val="404040"/>
          <w:sz w:val="24"/>
          <w:szCs w:val="24"/>
        </w:rPr>
        <w:t xml:space="preserve">CQRS (Segregación de Responsabilidades de Comandos y Consultas)</w:t>
      </w:r>
    </w:p>
    <w:p>
      <w:pPr>
        <w:spacing w:after="80" w:before="80"/>
      </w:pPr>
      <w:r>
        <w:rPr>
          <w:rFonts w:ascii="Arial" w:cs="Arial" w:eastAsia="Arial" w:hAnsi="Arial"/>
          <w:color w:val="404040"/>
          <w:sz w:val="22"/>
          <w:szCs w:val="22"/>
        </w:rPr>
        <w:t xml:space="preserve">La ruta de escritura (commands/) y la ruta de lectura (queries/) están completamente separadas. Los comandos modifican el estado y producen eventos. Las consultas leen el estado sin efectos secundarios.</w:t>
      </w:r>
    </w:p>
    <w:p>
      <w:pPr>
        <w:pStyle w:val="Heading3"/>
        <w:spacing w:after="120" w:before="240"/>
      </w:pPr>
      <w:r>
        <w:rPr>
          <w:rFonts w:ascii="Arial" w:cs="Arial" w:eastAsia="Arial" w:hAnsi="Arial"/>
          <w:b/>
          <w:bCs/>
          <w:color w:val="404040"/>
          <w:sz w:val="24"/>
          <w:szCs w:val="24"/>
        </w:rPr>
        <w:t xml:space="preserve">Event Sourcing</w:t>
      </w:r>
    </w:p>
    <w:p>
      <w:pPr>
        <w:spacing w:after="80" w:before="80"/>
      </w:pPr>
      <w:r>
        <w:rPr>
          <w:rFonts w:ascii="Arial" w:cs="Arial" w:eastAsia="Arial" w:hAnsi="Arial"/>
          <w:color w:val="404040"/>
          <w:sz w:val="22"/>
          <w:szCs w:val="22"/>
        </w:rPr>
        <w:t xml:space="preserve">Cada cambio de estado en una orden produce un registro inmutable OrderEvent en la tabla order_events. La tabla es solo de adición — los registros nunca se actualizan ni eliminan. Esto proporciona una pista de auditoría completa.</w:t>
      </w:r>
    </w:p>
    <w:p>
      <w:pPr>
        <w:pStyle w:val="Heading3"/>
        <w:spacing w:after="120" w:before="240"/>
      </w:pPr>
      <w:r>
        <w:rPr>
          <w:rFonts w:ascii="Arial" w:cs="Arial" w:eastAsia="Arial" w:hAnsi="Arial"/>
          <w:b/>
          <w:bCs/>
          <w:color w:val="404040"/>
          <w:sz w:val="24"/>
          <w:szCs w:val="24"/>
        </w:rPr>
        <w:t xml:space="preserve">Saga Pattern vía Kafka</w:t>
      </w:r>
    </w:p>
    <w:p>
      <w:pPr>
        <w:spacing w:after="80" w:before="80"/>
      </w:pPr>
      <w:r>
        <w:rPr>
          <w:rFonts w:ascii="Arial" w:cs="Arial" w:eastAsia="Arial" w:hAnsi="Arial"/>
          <w:color w:val="404040"/>
          <w:sz w:val="22"/>
          <w:szCs w:val="22"/>
        </w:rPr>
        <w:t xml:space="preserve">Cuando se crea una orden, el servicio publica un evento ORDER_CREATED en Kafka. Los servicios aguas abajo reaccionan independientemente. Si un paso falla, se publica un evento compensatorio. Esto evita transacciones distribuidas manteniendo consistencia eventual.</w:t>
      </w:r>
    </w:p>
    <w:p>
      <w:pPr>
        <w:pStyle w:val="Heading2"/>
        <w:spacing w:after="160" w:before="300"/>
      </w:pPr>
      <w:r>
        <w:rPr>
          <w:rFonts w:ascii="Arial" w:cs="Arial" w:eastAsia="Arial" w:hAnsi="Arial"/>
          <w:b/>
          <w:bCs/>
          <w:color w:val="2E75B6"/>
          <w:sz w:val="28"/>
          <w:szCs w:val="28"/>
        </w:rPr>
        <w:t xml:space="preserve">3.5 Notification Service (Go)</w:t>
      </w:r>
    </w:p>
    <w:p>
      <w:pPr>
        <w:spacing w:after="80" w:before="80"/>
      </w:pPr>
      <w:r>
        <w:rPr>
          <w:rFonts w:ascii="Arial" w:cs="Arial" w:eastAsia="Arial" w:hAnsi="Arial"/>
          <w:color w:val="404040"/>
          <w:sz w:val="22"/>
          <w:szCs w:val="22"/>
        </w:rPr>
        <w:t xml:space="preserve">Escrito en Go por una razón técnica específica: eficiencia de conexiones WebSocket concurrentes. El modelo asyncio de Python corre en un solo hilo del OS. Para 10,000 conexiones WebSocket simultáneas: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Memoria</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Modelo de concurrencia</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Python asyncio</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~500MB</w:t>
            </w:r>
          </w:p>
        </w:tc>
        <w:tc>
          <w:tcPr>
            <w:tcW w:type="dxa" w:w="40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Event loop de un solo hilo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Go goroutines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~20MB</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Runtime con threading M:N</w:t>
            </w:r>
          </w:p>
        </w:tc>
      </w:tr>
    </w:tbl>
    <w:p>
      <w:r>
        <w:t xml:space="preserve"/>
      </w:r>
    </w:p>
    <w:p>
      <w:pPr>
        <w:spacing w:after="80" w:before="80"/>
      </w:pPr>
      <w:r>
        <w:rPr>
          <w:rFonts w:ascii="Arial" w:cs="Arial" w:eastAsia="Arial" w:hAnsi="Arial"/>
          <w:color w:val="404040"/>
          <w:sz w:val="22"/>
          <w:szCs w:val="22"/>
        </w:rPr>
        <w:t xml:space="preserve">El Hub Pattern centraliza la gestión de conexiones. Una única goroutine Hub gestiona todas las conexiones activas vía channels. Cada cliente obtiene dos goroutines dedicadas: readPump y writePump. Los channels proveen comunicación thread-safe sin locks explícitos.</w:t>
      </w:r>
    </w:p>
    <w:p>
      <w:pPr>
        <w:pStyle w:val="Heading1"/>
        <w:pBdr>
          <w:bottom w:val="single" w:color="2E75B6" w:sz="6" w:space="4"/>
        </w:pBdr>
        <w:spacing w:after="200" w:before="400"/>
      </w:pPr>
      <w:r>
        <w:rPr>
          <w:rFonts w:ascii="Arial" w:cs="Arial" w:eastAsia="Arial" w:hAnsi="Arial"/>
          <w:b/>
          <w:bCs/>
          <w:color w:val="1F4E79"/>
          <w:sz w:val="36"/>
          <w:szCs w:val="36"/>
        </w:rPr>
        <w:t xml:space="preserve">4. Infraestructura</w:t>
      </w:r>
    </w:p>
    <w:p>
      <w:pPr>
        <w:pStyle w:val="Heading2"/>
        <w:spacing w:after="160" w:before="300"/>
      </w:pPr>
      <w:r>
        <w:rPr>
          <w:rFonts w:ascii="Arial" w:cs="Arial" w:eastAsia="Arial" w:hAnsi="Arial"/>
          <w:b/>
          <w:bCs/>
          <w:color w:val="2E75B6"/>
          <w:sz w:val="28"/>
          <w:szCs w:val="28"/>
        </w:rPr>
        <w:t xml:space="preserve">4.1 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Namespace</w:t>
            </w:r>
          </w:p>
        </w:tc>
        <w:tc>
          <w:tcPr>
            <w:tcW w:type="dxa" w:w="5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Todos los recursos en el namespace 'ecommerce'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Persistent Volumes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PVC de 1Gi por instancia PostgreSQL — datos sobreviven reinicios</w:t>
            </w:r>
          </w:p>
        </w:tc>
      </w:tr>
      <w:tr>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Resource Limits</w:t>
            </w:r>
          </w:p>
        </w:tc>
        <w:tc>
          <w:tcPr>
            <w:tcW w:type="dxa" w:w="5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Requests y límites de CPU y memoria para todos los pods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HPA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Servicios escalan de 2 a 5-8 réplicas con umbral de 70% CPU</w:t>
            </w:r>
          </w:p>
        </w:tc>
      </w:tr>
      <w:tr>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Ingress</w:t>
            </w:r>
          </w:p>
        </w:tc>
        <w:tc>
          <w:tcPr>
            <w:tcW w:type="dxa" w:w="5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Enrutamiento por subdominio: ecommerce.local, grafana.ecommerce.local, tracing.ecommerce.local</w:t>
            </w:r>
          </w:p>
        </w:tc>
      </w:tr>
    </w:tbl>
    <w:p>
      <w:pPr>
        <w:pStyle w:val="Heading2"/>
        <w:spacing w:after="160" w:before="300"/>
      </w:pPr>
      <w:r>
        <w:rPr>
          <w:rFonts w:ascii="Arial" w:cs="Arial" w:eastAsia="Arial" w:hAnsi="Arial"/>
          <w:b/>
          <w:bCs/>
          <w:color w:val="2E75B6"/>
          <w:sz w:val="28"/>
          <w:szCs w:val="28"/>
        </w:rPr>
        <w:t xml:space="preserve">4.2 Seguridad</w:t>
      </w:r>
    </w:p>
    <w:p>
      <w:pPr>
        <w:pStyle w:val="Heading3"/>
        <w:spacing w:after="120" w:before="240"/>
      </w:pPr>
      <w:r>
        <w:rPr>
          <w:rFonts w:ascii="Arial" w:cs="Arial" w:eastAsia="Arial" w:hAnsi="Arial"/>
          <w:b/>
          <w:bCs/>
          <w:color w:val="404040"/>
          <w:sz w:val="24"/>
          <w:szCs w:val="24"/>
        </w:rPr>
        <w:t xml:space="preserve">Network Policies</w:t>
      </w:r>
    </w:p>
    <w:p>
      <w:pPr>
        <w:spacing w:after="80" w:before="80"/>
      </w:pPr>
      <w:r>
        <w:rPr>
          <w:rFonts w:ascii="Arial" w:cs="Arial" w:eastAsia="Arial" w:hAnsi="Arial"/>
          <w:color w:val="404040"/>
          <w:sz w:val="22"/>
          <w:szCs w:val="22"/>
        </w:rPr>
        <w:t xml:space="preserve">Cinco recursos NetworkPolicy de Kubernetes aplican reglas de firewall a nivel de pod. Sin Network Policies, un pod comprometido podría consultar cualquier base de datos en el cluster. Con ellas, el movimiento lateral se bloquea a nivel de red.</w:t>
      </w:r>
    </w:p>
    <w:p>
      <w:pPr>
        <w:pStyle w:val="ListParagraph"/>
        <w:numPr>
          <w:ilvl w:val="0"/>
          <w:numId w:val="2"/>
        </w:numPr>
        <w:spacing w:after="40" w:before="40"/>
      </w:pPr>
      <w:r>
        <w:rPr>
          <w:rFonts w:ascii="Arial" w:cs="Arial" w:eastAsia="Arial" w:hAnsi="Arial"/>
          <w:color w:val="404040"/>
          <w:sz w:val="22"/>
          <w:szCs w:val="22"/>
        </w:rPr>
        <w:t xml:space="preserve">user-service-policy: Solo api-gateway puede alcanzar user-service.</w:t>
      </w:r>
    </w:p>
    <w:p>
      <w:pPr>
        <w:pStyle w:val="ListParagraph"/>
        <w:numPr>
          <w:ilvl w:val="0"/>
          <w:numId w:val="2"/>
        </w:numPr>
        <w:spacing w:after="40" w:before="40"/>
      </w:pPr>
      <w:r>
        <w:rPr>
          <w:rFonts w:ascii="Arial" w:cs="Arial" w:eastAsia="Arial" w:hAnsi="Arial"/>
          <w:color w:val="404040"/>
          <w:sz w:val="22"/>
          <w:szCs w:val="22"/>
        </w:rPr>
        <w:t xml:space="preserve">product-service-policy: Solo api-gateway y order-service pueden alcanzar product-service.</w:t>
      </w:r>
    </w:p>
    <w:p>
      <w:pPr>
        <w:pStyle w:val="ListParagraph"/>
        <w:numPr>
          <w:ilvl w:val="0"/>
          <w:numId w:val="2"/>
        </w:numPr>
        <w:spacing w:after="40" w:before="40"/>
      </w:pPr>
      <w:r>
        <w:rPr>
          <w:rFonts w:ascii="Arial" w:cs="Arial" w:eastAsia="Arial" w:hAnsi="Arial"/>
          <w:color w:val="404040"/>
          <w:sz w:val="22"/>
          <w:szCs w:val="22"/>
        </w:rPr>
        <w:t xml:space="preserve">order-service-policy: Solo api-gateway puede alcanzar order-service.</w:t>
      </w:r>
    </w:p>
    <w:p>
      <w:pPr>
        <w:pStyle w:val="ListParagraph"/>
        <w:numPr>
          <w:ilvl w:val="0"/>
          <w:numId w:val="2"/>
        </w:numPr>
        <w:spacing w:after="40" w:before="40"/>
      </w:pPr>
      <w:r>
        <w:rPr>
          <w:rFonts w:ascii="Arial" w:cs="Arial" w:eastAsia="Arial" w:hAnsi="Arial"/>
          <w:color w:val="404040"/>
          <w:sz w:val="22"/>
          <w:szCs w:val="22"/>
        </w:rPr>
        <w:t xml:space="preserve">api-gateway-policy: Solo el namespace ingress-nginx puede alcanzar api-gateway.</w:t>
      </w:r>
    </w:p>
    <w:p>
      <w:pPr>
        <w:pStyle w:val="ListParagraph"/>
        <w:numPr>
          <w:ilvl w:val="0"/>
          <w:numId w:val="2"/>
        </w:numPr>
        <w:spacing w:after="40" w:before="40"/>
      </w:pPr>
      <w:r>
        <w:rPr>
          <w:rFonts w:ascii="Arial" w:cs="Arial" w:eastAsia="Arial" w:hAnsi="Arial"/>
          <w:color w:val="404040"/>
          <w:sz w:val="22"/>
          <w:szCs w:val="22"/>
        </w:rPr>
        <w:t xml:space="preserve">postgres-policy: Solo el servicio correspondiente puede alcanzar cada instancia PostgreSQL.</w:t>
      </w:r>
    </w:p>
    <w:p>
      <w:pPr>
        <w:pStyle w:val="Heading3"/>
        <w:spacing w:after="120" w:before="240"/>
      </w:pPr>
      <w:r>
        <w:rPr>
          <w:rFonts w:ascii="Arial" w:cs="Arial" w:eastAsia="Arial" w:hAnsi="Arial"/>
          <w:b/>
          <w:bCs/>
          <w:color w:val="404040"/>
          <w:sz w:val="24"/>
          <w:szCs w:val="24"/>
        </w:rPr>
        <w:t xml:space="preserve">TLS con cert-manager</w:t>
      </w:r>
    </w:p>
    <w:p>
      <w:pPr>
        <w:spacing w:after="80" w:before="80"/>
      </w:pPr>
      <w:r>
        <w:rPr>
          <w:rFonts w:ascii="Arial" w:cs="Arial" w:eastAsia="Arial" w:hAnsi="Arial"/>
          <w:color w:val="404040"/>
          <w:sz w:val="22"/>
          <w:szCs w:val="22"/>
        </w:rPr>
        <w:t xml:space="preserve">cert-manager gestiona certificados TLS automáticamente. Un ClusterIssuer y un recurso Certificate están definidos. En producción con un dominio público, cert-manager usaría Let's Encrypt para certificados gratuitos y renovados automáticamente.</w:t>
      </w:r>
    </w:p>
    <w:p>
      <w:pPr>
        <w:pStyle w:val="Heading2"/>
        <w:spacing w:after="160" w:before="300"/>
      </w:pPr>
      <w:r>
        <w:rPr>
          <w:rFonts w:ascii="Arial" w:cs="Arial" w:eastAsia="Arial" w:hAnsi="Arial"/>
          <w:b/>
          <w:bCs/>
          <w:color w:val="2E75B6"/>
          <w:sz w:val="28"/>
          <w:szCs w:val="28"/>
        </w:rPr>
        <w:t xml:space="preserve">4.3 Observabilidad</w:t>
      </w:r>
    </w:p>
    <w:p>
      <w:pPr>
        <w:pStyle w:val="Heading3"/>
        <w:spacing w:after="120" w:before="240"/>
      </w:pPr>
      <w:r>
        <w:rPr>
          <w:rFonts w:ascii="Arial" w:cs="Arial" w:eastAsia="Arial" w:hAnsi="Arial"/>
          <w:b/>
          <w:bCs/>
          <w:color w:val="404040"/>
          <w:sz w:val="24"/>
          <w:szCs w:val="24"/>
        </w:rPr>
        <w:t xml:space="preserve">Métricas — Prometheus + Grafana</w:t>
      </w:r>
    </w:p>
    <w:p>
      <w:pPr>
        <w:spacing w:after="80" w:before="80"/>
      </w:pPr>
      <w:r>
        <w:rPr>
          <w:rFonts w:ascii="Arial" w:cs="Arial" w:eastAsia="Arial" w:hAnsi="Arial"/>
          <w:color w:val="404040"/>
          <w:sz w:val="22"/>
          <w:szCs w:val="22"/>
        </w:rPr>
        <w:t xml:space="preserve">prometheus-fastapi-instrumentator auto-instrumenta todos los servicios FastAPI, exponiendo /metrics en formato Prometheus. Grafana provee dashboards para tasa de solicitudes, latencia y tasa de errores por servicio.</w:t>
      </w:r>
    </w:p>
    <w:p>
      <w:pPr>
        <w:pStyle w:val="Heading3"/>
        <w:spacing w:after="120" w:before="240"/>
      </w:pPr>
      <w:r>
        <w:rPr>
          <w:rFonts w:ascii="Arial" w:cs="Arial" w:eastAsia="Arial" w:hAnsi="Arial"/>
          <w:b/>
          <w:bCs/>
          <w:color w:val="404040"/>
          <w:sz w:val="24"/>
          <w:szCs w:val="24"/>
        </w:rPr>
        <w:t xml:space="preserve">Trazado Distribuido — Jaeger + OpenTelemetry</w:t>
      </w:r>
    </w:p>
    <w:p>
      <w:pPr>
        <w:spacing w:after="80" w:before="80"/>
      </w:pPr>
      <w:r>
        <w:rPr>
          <w:rFonts w:ascii="Arial" w:cs="Arial" w:eastAsia="Arial" w:hAnsi="Arial"/>
          <w:color w:val="404040"/>
          <w:sz w:val="22"/>
          <w:szCs w:val="22"/>
        </w:rPr>
        <w:t xml:space="preserve">Los SDKs de OpenTelemetry están instalados en los cuatro servicios Python. FastAPIInstrumentor crea automáticamente un span para cada solicitud HTTP. SQLAlchemyInstrumentor crea un span para cada consulta SQL. Todos los spans se exportan a Jaeger vía OTLP gRPC.</w:t>
      </w:r>
    </w:p>
    <w:p>
      <w:r>
        <w:t xml:space="preserve"/>
      </w:r>
    </w:p>
    <w:p>
      <w:pPr>
        <w:spacing w:after="60" w:before="60"/>
        <w:ind w:left="360"/>
      </w:pPr>
      <w:r>
        <w:rPr>
          <w:rFonts w:ascii="Courier New" w:cs="Courier New" w:eastAsia="Courier New" w:hAnsi="Courier New"/>
          <w:color w:val="1E1E1E"/>
          <w:sz w:val="18"/>
          <w:szCs w:val="18"/>
        </w:rPr>
        <w:t xml:space="preserve">POST /api/orders → 3.52s</w:t>
      </w:r>
    </w:p>
    <w:p>
      <w:pPr>
        <w:spacing w:after="60" w:before="60"/>
        <w:ind w:left="360"/>
      </w:pPr>
      <w:r>
        <w:rPr>
          <w:rFonts w:ascii="Courier New" w:cs="Courier New" w:eastAsia="Courier New" w:hAnsi="Courier New"/>
          <w:color w:val="1E1E1E"/>
          <w:sz w:val="18"/>
          <w:szCs w:val="18"/>
        </w:rPr>
        <w:t xml:space="preserve">  api-gateway: recibir solicitud        5ms</w:t>
      </w:r>
    </w:p>
    <w:p>
      <w:pPr>
        <w:spacing w:after="60" w:before="60"/>
        <w:ind w:left="360"/>
      </w:pPr>
      <w:r>
        <w:rPr>
          <w:rFonts w:ascii="Courier New" w:cs="Courier New" w:eastAsia="Courier New" w:hAnsi="Courier New"/>
          <w:color w:val="1E1E1E"/>
          <w:sz w:val="18"/>
          <w:szCs w:val="18"/>
        </w:rPr>
        <w:t xml:space="preserve">  api-gateway: proxy a order-service    3.5s</w:t>
      </w:r>
    </w:p>
    <w:p>
      <w:pPr>
        <w:spacing w:after="60" w:before="60"/>
        <w:ind w:left="360"/>
      </w:pPr>
      <w:r>
        <w:rPr>
          <w:rFonts w:ascii="Courier New" w:cs="Courier New" w:eastAsia="Courier New" w:hAnsi="Courier New"/>
          <w:color w:val="1E1E1E"/>
          <w:sz w:val="18"/>
          <w:szCs w:val="18"/>
        </w:rPr>
        <w:t xml:space="preserve">    order-service: validar productos    95ms</w:t>
      </w:r>
    </w:p>
    <w:p>
      <w:pPr>
        <w:spacing w:after="60" w:before="60"/>
        <w:ind w:left="360"/>
      </w:pPr>
      <w:r>
        <w:rPr>
          <w:rFonts w:ascii="Courier New" w:cs="Courier New" w:eastAsia="Courier New" w:hAnsi="Courier New"/>
          <w:color w:val="1E1E1E"/>
          <w:sz w:val="18"/>
          <w:szCs w:val="18"/>
        </w:rPr>
        <w:t xml:space="preserve">    order-service: INSERT order         12ms</w:t>
      </w:r>
    </w:p>
    <w:p>
      <w:pPr>
        <w:spacing w:after="60" w:before="60"/>
        <w:ind w:left="360"/>
      </w:pPr>
      <w:r>
        <w:rPr>
          <w:rFonts w:ascii="Courier New" w:cs="Courier New" w:eastAsia="Courier New" w:hAnsi="Courier New"/>
          <w:color w:val="1E1E1E"/>
          <w:sz w:val="18"/>
          <w:szCs w:val="18"/>
        </w:rPr>
        <w:t xml:space="preserve">    order-service: INSERT events         8ms</w:t>
      </w:r>
    </w:p>
    <w:p>
      <w:pPr>
        <w:spacing w:after="60" w:before="60"/>
        <w:ind w:left="360"/>
      </w:pPr>
      <w:r>
        <w:rPr>
          <w:rFonts w:ascii="Courier New" w:cs="Courier New" w:eastAsia="Courier New" w:hAnsi="Courier New"/>
          <w:color w:val="1E1E1E"/>
          <w:sz w:val="18"/>
          <w:szCs w:val="18"/>
        </w:rPr>
        <w:t xml:space="preserve">    order-service: publicar Kafka       50ms</w:t>
      </w:r>
    </w:p>
    <w:p>
      <w:pPr>
        <w:pStyle w:val="Heading3"/>
        <w:spacing w:after="120" w:before="240"/>
      </w:pPr>
      <w:r>
        <w:rPr>
          <w:rFonts w:ascii="Arial" w:cs="Arial" w:eastAsia="Arial" w:hAnsi="Arial"/>
          <w:b/>
          <w:bCs/>
          <w:color w:val="404040"/>
          <w:sz w:val="24"/>
          <w:szCs w:val="24"/>
        </w:rPr>
        <w:t xml:space="preserve">Logging Estructurado</w:t>
      </w:r>
    </w:p>
    <w:p>
      <w:pPr>
        <w:spacing w:after="80" w:before="80"/>
      </w:pPr>
      <w:r>
        <w:rPr>
          <w:rFonts w:ascii="Arial" w:cs="Arial" w:eastAsia="Arial" w:hAnsi="Arial"/>
          <w:color w:val="404040"/>
          <w:sz w:val="22"/>
          <w:szCs w:val="22"/>
        </w:rPr>
        <w:t xml:space="preserve">Todos los servicios usan python-json-logger para emitir logs en formato JSON. Cada línea incluye timestamp, level, logger y message. Esto hace los logs consultables sin necesidad de parsing con regex.</w:t>
      </w:r>
    </w:p>
    <w:p>
      <w:pPr>
        <w:pStyle w:val="Heading1"/>
        <w:pBdr>
          <w:bottom w:val="single" w:color="2E75B6" w:sz="6" w:space="4"/>
        </w:pBdr>
        <w:spacing w:after="200" w:before="400"/>
      </w:pPr>
      <w:r>
        <w:rPr>
          <w:rFonts w:ascii="Arial" w:cs="Arial" w:eastAsia="Arial" w:hAnsi="Arial"/>
          <w:b/>
          <w:bCs/>
          <w:color w:val="1F4E79"/>
          <w:sz w:val="36"/>
          <w:szCs w:val="36"/>
        </w:rPr>
        <w:t xml:space="preserve">5. Estrategia de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Servicio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Pruebas</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Cobertura</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user-service</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16</w:t>
            </w:r>
          </w:p>
        </w:tc>
        <w:tc>
          <w:tcPr>
            <w:tcW w:type="dxa" w:w="4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Endpoints de auth, flujo JWT, RBAC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product-service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CRUD, paginación, búsqueda, soft delete</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order-service</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12</w:t>
            </w:r>
          </w:p>
        </w:tc>
        <w:tc>
          <w:tcPr>
            <w:tcW w:type="dxa" w:w="4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Ciclo de vida de órdenes, CQRS, máquina de estados, Event Sourcing</w:t>
            </w:r>
          </w:p>
        </w:tc>
      </w:tr>
    </w:tbl>
    <w:p>
      <w:r>
        <w:t xml:space="preserve"/>
      </w:r>
    </w:p>
    <w:p>
      <w:pPr>
        <w:spacing w:after="80" w:before="80"/>
      </w:pPr>
      <w:r>
        <w:rPr>
          <w:rFonts w:ascii="Arial" w:cs="Arial" w:eastAsia="Arial" w:hAnsi="Arial"/>
          <w:color w:val="404040"/>
          <w:sz w:val="22"/>
          <w:szCs w:val="22"/>
        </w:rPr>
        <w:t xml:space="preserve">Las pruebas usan pytest-asyncio, httpx.AsyncClient con ASGITransport para pruebas HTTP en proceso, bases de datos PostgreSQL reales (no SQLite), y AsyncMock para Redis y Kafka. El pipeline CI/CD corre los tres suites de pruebas en paralelo, cada uno con su propio contenedor PostgreSQL efímero.</w:t>
      </w:r>
    </w:p>
    <w:p>
      <w:pPr>
        <w:pStyle w:val="Heading1"/>
        <w:pBdr>
          <w:bottom w:val="single" w:color="2E75B6" w:sz="6" w:space="4"/>
        </w:pBdr>
        <w:spacing w:after="200" w:before="400"/>
      </w:pPr>
      <w:r>
        <w:rPr>
          <w:rFonts w:ascii="Arial" w:cs="Arial" w:eastAsia="Arial" w:hAnsi="Arial"/>
          <w:b/>
          <w:bCs/>
          <w:color w:val="1F4E79"/>
          <w:sz w:val="36"/>
          <w:szCs w:val="36"/>
        </w:rPr>
        <w:t xml:space="preserve">6. Decisiones Técnicas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Decisión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Justificación</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Base de datos por servicio</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Aplica límites estrictos entre servicios. Cada servicio evoluciona su esquema independientemente.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Async en todo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asyncpg + aioredis permiten miles de solicitudes concurrentes en un solo proceso sin bloqueos.</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Go para WebSockets</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No es preferencia — es rendimiento. 10k conexiones: ~20MB en Go vs ~500MB en Python.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Autenticación JWT sin estado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Sin estado de sesión en servidor. El gateway valida y pasa la identidad aguas abajo. Escala horizontalmente.</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Soft delete para productos</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Productos referenciados por órdenes deben seguir siendo consultables. La eliminación dura rompe la integridad referencial.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CQRS + Event Sourcing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Las órdenes son el dominio crítico. Pista de auditoría completa. Rutas de lectura y escritura escalan independientemente.</w:t>
            </w:r>
          </w:p>
        </w:tc>
      </w:tr>
    </w:tbl>
    <w:p>
      <w:pPr>
        <w:pStyle w:val="Heading1"/>
        <w:pBdr>
          <w:bottom w:val="single" w:color="2E75B6" w:sz="6" w:space="4"/>
        </w:pBdr>
        <w:spacing w:after="200" w:before="400"/>
      </w:pPr>
      <w:r>
        <w:rPr>
          <w:rFonts w:ascii="Arial" w:cs="Arial" w:eastAsia="Arial" w:hAnsi="Arial"/>
          <w:b/>
          <w:bCs/>
          <w:color w:val="1F4E79"/>
          <w:sz w:val="36"/>
          <w:szCs w:val="36"/>
        </w:rPr>
        <w:t xml:space="preserve">7. Mejoras Futuras</w:t>
      </w:r>
    </w:p>
    <w:p>
      <w:pPr>
        <w:pStyle w:val="Heading2"/>
        <w:spacing w:after="160" w:before="300"/>
      </w:pPr>
      <w:r>
        <w:rPr>
          <w:rFonts w:ascii="Arial" w:cs="Arial" w:eastAsia="Arial" w:hAnsi="Arial"/>
          <w:b/>
          <w:bCs/>
          <w:color w:val="2E75B6"/>
          <w:sz w:val="28"/>
          <w:szCs w:val="28"/>
        </w:rPr>
        <w:t xml:space="preserve">Istio Service Mesh (mTLS)</w:t>
      </w:r>
    </w:p>
    <w:p>
      <w:pPr>
        <w:spacing w:after="80" w:before="80"/>
      </w:pPr>
      <w:r>
        <w:rPr>
          <w:rFonts w:ascii="Arial" w:cs="Arial" w:eastAsia="Arial" w:hAnsi="Arial"/>
          <w:color w:val="404040"/>
          <w:sz w:val="22"/>
          <w:szCs w:val="22"/>
        </w:rPr>
        <w:t xml:space="preserve">Las Network Policies aplican aislamiento a nivel de IP/puerto pero no pueden verificar identidad criptográfica. Istio inyectaría un proxy sidecar Envoy en cada pod, estableciendo TLS mutuo entre todos los servicios automáticamente. Cada pod recibiría una identidad criptográfica — un pod comprometido no puede suplantar a otro servicio.</w:t>
      </w:r>
    </w:p>
    <w:p>
      <w:pPr>
        <w:pStyle w:val="ListParagraph"/>
        <w:numPr>
          <w:ilvl w:val="0"/>
          <w:numId w:val="2"/>
        </w:numPr>
        <w:spacing w:after="40" w:before="40"/>
      </w:pPr>
      <w:r>
        <w:rPr>
          <w:rFonts w:ascii="Arial" w:cs="Arial" w:eastAsia="Arial" w:hAnsi="Arial"/>
          <w:color w:val="404040"/>
          <w:sz w:val="22"/>
          <w:szCs w:val="22"/>
        </w:rPr>
        <w:t xml:space="preserve">Canary deployments (ej: 5% del tráfico a nueva versión)</w:t>
      </w:r>
    </w:p>
    <w:p>
      <w:pPr>
        <w:pStyle w:val="ListParagraph"/>
        <w:numPr>
          <w:ilvl w:val="0"/>
          <w:numId w:val="2"/>
        </w:numPr>
        <w:spacing w:after="40" w:before="40"/>
      </w:pPr>
      <w:r>
        <w:rPr>
          <w:rFonts w:ascii="Arial" w:cs="Arial" w:eastAsia="Arial" w:hAnsi="Arial"/>
          <w:color w:val="404040"/>
          <w:sz w:val="22"/>
          <w:szCs w:val="22"/>
        </w:rPr>
        <w:t xml:space="preserve">Circuit breaker a nivel de infraestructura</w:t>
      </w:r>
    </w:p>
    <w:p>
      <w:pPr>
        <w:pStyle w:val="ListParagraph"/>
        <w:numPr>
          <w:ilvl w:val="0"/>
          <w:numId w:val="2"/>
        </w:numPr>
        <w:spacing w:after="40" w:before="40"/>
      </w:pPr>
      <w:r>
        <w:rPr>
          <w:rFonts w:ascii="Arial" w:cs="Arial" w:eastAsia="Arial" w:hAnsi="Arial"/>
          <w:color w:val="404040"/>
          <w:sz w:val="22"/>
          <w:szCs w:val="22"/>
        </w:rPr>
        <w:t xml:space="preserve">Retry automático con backoff exponencial</w:t>
      </w:r>
    </w:p>
    <w:p>
      <w:pPr>
        <w:pStyle w:val="ListParagraph"/>
        <w:numPr>
          <w:ilvl w:val="0"/>
          <w:numId w:val="2"/>
        </w:numPr>
        <w:spacing w:after="40" w:before="40"/>
      </w:pPr>
      <w:r>
        <w:rPr>
          <w:rFonts w:ascii="Arial" w:cs="Arial" w:eastAsia="Arial" w:hAnsi="Arial"/>
          <w:color w:val="404040"/>
          <w:sz w:val="22"/>
          <w:szCs w:val="22"/>
        </w:rPr>
        <w:t xml:space="preserve">Rate limiting por servicio</w:t>
      </w:r>
    </w:p>
    <w:p>
      <w:pPr>
        <w:pStyle w:val="ListParagraph"/>
        <w:numPr>
          <w:ilvl w:val="0"/>
          <w:numId w:val="2"/>
        </w:numPr>
        <w:spacing w:after="40" w:before="40"/>
      </w:pPr>
      <w:r>
        <w:rPr>
          <w:rFonts w:ascii="Arial" w:cs="Arial" w:eastAsia="Arial" w:hAnsi="Arial"/>
          <w:color w:val="404040"/>
          <w:sz w:val="22"/>
          <w:szCs w:val="22"/>
        </w:rPr>
        <w:t xml:space="preserve">Requisito: 8GB+ de RAM por nodo de Kubernetes</w:t>
      </w:r>
    </w:p>
    <w:p>
      <w:pPr>
        <w:pStyle w:val="Heading2"/>
        <w:spacing w:after="160" w:before="300"/>
      </w:pPr>
      <w:r>
        <w:rPr>
          <w:rFonts w:ascii="Arial" w:cs="Arial" w:eastAsia="Arial" w:hAnsi="Arial"/>
          <w:b/>
          <w:bCs/>
          <w:color w:val="2E75B6"/>
          <w:sz w:val="28"/>
          <w:szCs w:val="28"/>
        </w:rPr>
        <w:t xml:space="preserve">Despliegue Automático a Kubernetes desde CI/CD</w:t>
      </w:r>
    </w:p>
    <w:p>
      <w:pPr>
        <w:spacing w:after="80" w:before="80"/>
      </w:pPr>
      <w:r>
        <w:rPr>
          <w:rFonts w:ascii="Arial" w:cs="Arial" w:eastAsia="Arial" w:hAnsi="Arial"/>
          <w:color w:val="404040"/>
          <w:sz w:val="22"/>
          <w:szCs w:val="22"/>
        </w:rPr>
        <w:t xml:space="preserve">El pipeline actual construye y sube imágenes Docker a DockerHub. El paso faltante es kubectl set image o kubectl rollout restart disparado desde GitHub Actions después de un build exitoso.</w:t>
      </w:r>
    </w:p>
    <w:p>
      <w:pPr>
        <w:pStyle w:val="Heading2"/>
        <w:spacing w:after="160" w:before="300"/>
      </w:pPr>
      <w:r>
        <w:rPr>
          <w:rFonts w:ascii="Arial" w:cs="Arial" w:eastAsia="Arial" w:hAnsi="Arial"/>
          <w:b/>
          <w:bCs/>
          <w:color w:val="2E75B6"/>
          <w:sz w:val="28"/>
          <w:szCs w:val="28"/>
        </w:rPr>
        <w:t xml:space="preserve">Ambientes de Staging / Producción</w:t>
      </w:r>
    </w:p>
    <w:p>
      <w:pPr>
        <w:spacing w:after="80" w:before="80"/>
      </w:pPr>
      <w:r>
        <w:rPr>
          <w:rFonts w:ascii="Arial" w:cs="Arial" w:eastAsia="Arial" w:hAnsi="Arial"/>
          <w:color w:val="404040"/>
          <w:sz w:val="22"/>
          <w:szCs w:val="22"/>
        </w:rPr>
        <w:t xml:space="preserve">Actualmente un solo ambiente. Los sistemas de producción usan como mínimo dos ambientes: staging (espeja producción) y producción. Esto se implementaría como namespaces separados de Kubernetes o clusters separados.</w:t>
      </w:r>
    </w:p>
    <w:p>
      <w:pPr>
        <w:pStyle w:val="Heading2"/>
        <w:spacing w:after="160" w:before="300"/>
      </w:pPr>
      <w:r>
        <w:rPr>
          <w:rFonts w:ascii="Arial" w:cs="Arial" w:eastAsia="Arial" w:hAnsi="Arial"/>
          <w:b/>
          <w:bCs/>
          <w:color w:val="2E75B6"/>
          <w:sz w:val="28"/>
          <w:szCs w:val="28"/>
        </w:rPr>
        <w:t xml:space="preserve">Argo Rollouts</w:t>
      </w:r>
    </w:p>
    <w:p>
      <w:pPr>
        <w:spacing w:after="80" w:before="80"/>
      </w:pPr>
      <w:r>
        <w:rPr>
          <w:rFonts w:ascii="Arial" w:cs="Arial" w:eastAsia="Arial" w:hAnsi="Arial"/>
          <w:color w:val="404040"/>
          <w:sz w:val="22"/>
          <w:szCs w:val="22"/>
        </w:rPr>
        <w:t xml:space="preserve">Canary deployments sin Istio. Argo Rollouts se integra con los Deployments de Kubernetes para soportar cambio gradual de tráfico, análisis automático y rollback por degradación de métricas.</w:t>
      </w:r>
    </w:p>
    <w:p>
      <w:pPr>
        <w:pStyle w:val="Heading2"/>
        <w:spacing w:after="160" w:before="300"/>
      </w:pPr>
      <w:r>
        <w:rPr>
          <w:rFonts w:ascii="Arial" w:cs="Arial" w:eastAsia="Arial" w:hAnsi="Arial"/>
          <w:b/>
          <w:bCs/>
          <w:color w:val="2E75B6"/>
          <w:sz w:val="28"/>
          <w:szCs w:val="28"/>
        </w:rPr>
        <w:t xml:space="preserve">Velero</w:t>
      </w:r>
    </w:p>
    <w:p>
      <w:pPr>
        <w:spacing w:after="80" w:before="80"/>
      </w:pPr>
      <w:r>
        <w:rPr>
          <w:rFonts w:ascii="Arial" w:cs="Arial" w:eastAsia="Arial" w:hAnsi="Arial"/>
          <w:color w:val="404040"/>
          <w:sz w:val="22"/>
          <w:szCs w:val="22"/>
        </w:rPr>
        <w:t xml:space="preserve">Backup y recuperación ante desastres de Kubernetes. Velero hace snapshots del estado del cluster y los volúmenes persistentes a almacenamiento de objetos (S3), habilitando recuperación a un punto en el tiempo.</w:t>
      </w:r>
    </w:p>
    <w:p>
      <w:pPr>
        <w:pStyle w:val="Heading2"/>
        <w:spacing w:after="160" w:before="300"/>
      </w:pPr>
      <w:r>
        <w:rPr>
          <w:rFonts w:ascii="Arial" w:cs="Arial" w:eastAsia="Arial" w:hAnsi="Arial"/>
          <w:b/>
          <w:bCs/>
          <w:color w:val="2E75B6"/>
          <w:sz w:val="28"/>
          <w:szCs w:val="28"/>
        </w:rPr>
        <w:t xml:space="preserve">Grafana Loki</w:t>
      </w:r>
    </w:p>
    <w:p>
      <w:pPr>
        <w:spacing w:after="80" w:before="80"/>
      </w:pPr>
      <w:r>
        <w:rPr>
          <w:rFonts w:ascii="Arial" w:cs="Arial" w:eastAsia="Arial" w:hAnsi="Arial"/>
          <w:color w:val="404040"/>
          <w:sz w:val="22"/>
          <w:szCs w:val="22"/>
        </w:rPr>
        <w:t xml:space="preserve">Agregación centralizada de logs. Actualmente los logs son legibles via kubectl logs por pod. Loki ingeriría todos los logs JSON, haciéndolos consultables en todos los servicios y pods simultáneamente desde la UI de Grafana.</w:t>
      </w:r>
    </w:p>
    <w:p>
      <w:pPr>
        <w:pBdr>
          <w:bottom w:val="single" w:color="CCCCCC" w:sz="4" w:space="1"/>
        </w:pBdr>
        <w:spacing w:after="200" w:before="200"/>
      </w:pPr>
      <w:r>
        <w:t xml:space="preserve"/>
      </w:r>
    </w:p>
    <w:p>
      <w:pPr>
        <w:spacing w:after="0" w:before="200"/>
        <w:jc w:val="center"/>
      </w:pPr>
      <w:r>
        <w:rPr>
          <w:rFonts w:ascii="Arial" w:cs="Arial" w:eastAsia="Arial" w:hAnsi="Arial"/>
          <w:i/>
          <w:iCs/>
          <w:color w:val="595959"/>
          <w:sz w:val="20"/>
          <w:szCs w:val="20"/>
        </w:rPr>
        <w:t xml:space="preserve">Luis Fernando Agamez Atehortua —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95959"/>
        <w:sz w:val="18"/>
        <w:szCs w:val="18"/>
      </w:rPr>
      <w:t xml:space="preserve">Technical Report — E-Commerce Distributed Backend</w:t>
    </w:r>
    <w:r>
      <w:rPr>
        <w:rFonts w:ascii="Arial" w:cs="Arial" w:eastAsia="Arial" w:hAnsi="Arial"/>
        <w:color w:val="2E75B6"/>
        <w:sz w:val="18"/>
        <w:szCs w:val="18"/>
      </w:rPr>
      <w:t xml:space="preserve">   |   Luis Fernando Agamez Atehortua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2026-05-27T06:41:43.100Z</dcterms:created>
  <dcterms:modified xsi:type="dcterms:W3CDTF">2026-05-27T06:41:43.100Z</dcterms:modified>
</cp:coreProperties>
</file>

<file path=docProps/custom.xml><?xml version="1.0" encoding="utf-8"?>
<Properties xmlns="http://schemas.openxmlformats.org/officeDocument/2006/custom-properties" xmlns:vt="http://schemas.openxmlformats.org/officeDocument/2006/docPropsVTypes"/>
</file>