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E0CE2" w14:textId="77777777" w:rsidR="00934167" w:rsidRPr="00934167" w:rsidRDefault="00934167" w:rsidP="00934167">
      <w:pPr>
        <w:spacing w:line="480" w:lineRule="auto"/>
      </w:pPr>
      <w:r w:rsidRPr="00934167">
        <w:rPr>
          <w:color w:val="000000"/>
        </w:rPr>
        <w:t>Karen Stacey Blanco-Mendoza</w:t>
      </w:r>
    </w:p>
    <w:p w14:paraId="7E80FAE9" w14:textId="77777777" w:rsidR="00934167" w:rsidRPr="00934167" w:rsidRDefault="00934167" w:rsidP="00934167">
      <w:pPr>
        <w:spacing w:line="480" w:lineRule="auto"/>
      </w:pPr>
      <w:r w:rsidRPr="00934167">
        <w:rPr>
          <w:color w:val="000000"/>
        </w:rPr>
        <w:t>Professor Nina Rathbun</w:t>
      </w:r>
    </w:p>
    <w:p w14:paraId="3526C16C" w14:textId="77777777" w:rsidR="00934167" w:rsidRPr="00934167" w:rsidRDefault="00934167" w:rsidP="00934167">
      <w:pPr>
        <w:spacing w:line="480" w:lineRule="auto"/>
      </w:pPr>
      <w:r w:rsidRPr="00934167">
        <w:rPr>
          <w:color w:val="000000"/>
        </w:rPr>
        <w:t>IR468 European Integration</w:t>
      </w:r>
    </w:p>
    <w:p w14:paraId="2AD711B2" w14:textId="645EE10B" w:rsidR="00934167" w:rsidRPr="00934167" w:rsidRDefault="00E35610" w:rsidP="00934167">
      <w:pPr>
        <w:spacing w:line="480" w:lineRule="auto"/>
      </w:pPr>
      <w:r>
        <w:rPr>
          <w:color w:val="000000"/>
        </w:rPr>
        <w:t>7</w:t>
      </w:r>
      <w:r w:rsidR="003C4394">
        <w:rPr>
          <w:color w:val="000000"/>
        </w:rPr>
        <w:t xml:space="preserve"> December</w:t>
      </w:r>
      <w:r w:rsidR="00934167" w:rsidRPr="00934167">
        <w:rPr>
          <w:color w:val="000000"/>
        </w:rPr>
        <w:t xml:space="preserve"> 2023</w:t>
      </w:r>
    </w:p>
    <w:p w14:paraId="17CE9BC1" w14:textId="77777777" w:rsidR="00934167" w:rsidRPr="00934167" w:rsidRDefault="00934167" w:rsidP="00934167">
      <w:pPr>
        <w:spacing w:line="480" w:lineRule="auto"/>
        <w:jc w:val="center"/>
      </w:pPr>
      <w:r w:rsidRPr="00934167">
        <w:rPr>
          <w:color w:val="000000"/>
        </w:rPr>
        <w:t>The Evolution of the European Central Bank’s Authorities Through Neo-Functionalism</w:t>
      </w:r>
    </w:p>
    <w:p w14:paraId="6C39F687" w14:textId="77777777" w:rsidR="00934167" w:rsidRPr="00934167" w:rsidRDefault="00934167" w:rsidP="00934167">
      <w:pPr>
        <w:spacing w:line="480" w:lineRule="auto"/>
      </w:pPr>
      <w:r w:rsidRPr="00934167">
        <w:rPr>
          <w:b/>
          <w:bCs/>
          <w:color w:val="000000"/>
        </w:rPr>
        <w:t>Introduction:</w:t>
      </w:r>
    </w:p>
    <w:p w14:paraId="34BC3409" w14:textId="77777777" w:rsidR="00CA0DF1" w:rsidRDefault="00CA0DF1" w:rsidP="0064262F">
      <w:pPr>
        <w:pStyle w:val="NormalWeb"/>
        <w:spacing w:before="0" w:beforeAutospacing="0" w:after="0" w:afterAutospacing="0" w:line="480" w:lineRule="auto"/>
        <w:ind w:firstLine="720"/>
      </w:pPr>
      <w:r>
        <w:rPr>
          <w:color w:val="000000"/>
        </w:rPr>
        <w:t>The Eurozone Crisis, though it occurred from 2009 to 2014, is still considered to be an important historical event that influenced the development of the European Union (EU) in the current present. It highlights the importance of the development of the European Economic and Monetary Policy (EMU) of today because of the ways in which the EU has tried to solve the problems that were in its economic and monetary policies. This notion of solving the issues can be seen in the before, during, and after of the Eurozone Crisis due to the issues that arose to how the structuring of the institutional framework for the EMU was cultivated during this period. </w:t>
      </w:r>
    </w:p>
    <w:p w14:paraId="15F9EB4B" w14:textId="3285E069" w:rsidR="00B76B53" w:rsidRDefault="00CA0DF1" w:rsidP="005465D7">
      <w:pPr>
        <w:pStyle w:val="NormalWeb"/>
        <w:spacing w:before="0" w:beforeAutospacing="0" w:after="0" w:afterAutospacing="0" w:line="480" w:lineRule="auto"/>
        <w:rPr>
          <w:color w:val="000000"/>
        </w:rPr>
      </w:pPr>
      <w:r>
        <w:rPr>
          <w:color w:val="000000"/>
        </w:rPr>
        <w:t xml:space="preserve">It was seen prior with the implementation of the Maastricht Treaty of 1992 for which this treaty contributed to the furthering development of the Single Market with the introduction of the single currency, the euro, and the EMU. It was seen during the Eurozone Crisis because though the structure could be effective, there was not a strong effective use of the structural framework within the national level in the member states. The issues that arose influenced the market, and the architectural framework within national institutions would lead to the faster volatility of capital flows due to risky behaviours which contributed to credit booms which would then transform itself into price asset bubbles within the housing sectors of these states. But with the price asset bubbles that would form, they would eventually burst and then banks would end up in crises where they would need to be bailed out by their governments because of the risky loaning </w:t>
      </w:r>
      <w:r>
        <w:rPr>
          <w:color w:val="000000"/>
        </w:rPr>
        <w:lastRenderedPageBreak/>
        <w:t xml:space="preserve">that underwent during the credit boom. As a result of these risky behaviours, all investors would pull out their money flow causing a sovereign debt crisis within the Eurozone. This problem would then lead to the post-Eurozone Crisis climate that resulted in authorities being granted to the European Central Bank (ECB) that was not outlined in the Maastricht Treaty which founded its creation. It is from a neo-functionalist lens that the evolution of the pre-crisis, crisis, and post-crisis climates showcases how poor decision making within the structures pushed by the Maastricht treaty fueled the start of the crisis, and that it would be problem solving that would be needed to help those nation-states affected by the crisis. However, instead of granting more authority to the national level, the Eurozone Crisis helped showcase the inefficiencies of the EMU structure and would help to give more regulations to the ECB of today’s EU, and in that process, developed the responses </w:t>
      </w:r>
      <w:r w:rsidR="00D87E67">
        <w:rPr>
          <w:color w:val="000000"/>
        </w:rPr>
        <w:t>to</w:t>
      </w:r>
      <w:r>
        <w:rPr>
          <w:color w:val="000000"/>
        </w:rPr>
        <w:t xml:space="preserve"> curtail the potentiality of another crisis to occur in the future. </w:t>
      </w:r>
      <w:r w:rsidRPr="00883A28">
        <w:rPr>
          <w:color w:val="000000"/>
        </w:rPr>
        <w:t xml:space="preserve">Throughout this paper, the neo-functionalist lens </w:t>
      </w:r>
      <w:r w:rsidR="00883A28" w:rsidRPr="00883A28">
        <w:rPr>
          <w:color w:val="000000"/>
        </w:rPr>
        <w:t xml:space="preserve">shows that when there are shocks that shows the incompleteness of the structure that causes problems to occur. The </w:t>
      </w:r>
      <w:r w:rsidR="0039572D" w:rsidRPr="00883A28">
        <w:rPr>
          <w:color w:val="000000"/>
        </w:rPr>
        <w:t xml:space="preserve">Eurozone Crisis </w:t>
      </w:r>
      <w:r w:rsidR="00883A28" w:rsidRPr="00883A28">
        <w:rPr>
          <w:color w:val="000000"/>
        </w:rPr>
        <w:t xml:space="preserve">was the economic shock that </w:t>
      </w:r>
      <w:r w:rsidRPr="00883A28">
        <w:rPr>
          <w:color w:val="000000"/>
        </w:rPr>
        <w:t>led to the new integration and banking and supervisory regulations of the EU today in its EMU to prevent unwanted spillovers as well as for another crisis to occur. The neo-functionalist lens will be used to examine the issues in the pre-Eurozone Crisis, Eurozone Crisis, and post-Eurozone Crisis to find the effectiveness of the prevention of spillovers and the effectiveness of the solving of problems through the periods mentioned.</w:t>
      </w:r>
    </w:p>
    <w:p w14:paraId="0C6E5CA0" w14:textId="77777777" w:rsidR="005465D7" w:rsidRPr="005465D7" w:rsidRDefault="005465D7" w:rsidP="005465D7">
      <w:pPr>
        <w:pStyle w:val="NormalWeb"/>
        <w:spacing w:before="0" w:beforeAutospacing="0" w:after="0" w:afterAutospacing="0" w:line="480" w:lineRule="auto"/>
      </w:pPr>
    </w:p>
    <w:p w14:paraId="7BFD3E55" w14:textId="41370BF0" w:rsidR="006527FB" w:rsidRDefault="006527FB" w:rsidP="00934167">
      <w:pPr>
        <w:spacing w:line="480" w:lineRule="auto"/>
        <w:jc w:val="center"/>
        <w:rPr>
          <w:b/>
          <w:bCs/>
          <w:color w:val="000000"/>
        </w:rPr>
      </w:pPr>
      <w:r>
        <w:rPr>
          <w:b/>
          <w:bCs/>
          <w:color w:val="000000"/>
        </w:rPr>
        <w:t>Literature Review</w:t>
      </w:r>
    </w:p>
    <w:p w14:paraId="49683438" w14:textId="0848666F" w:rsidR="006527FB" w:rsidRDefault="006527FB" w:rsidP="00883A28">
      <w:pPr>
        <w:spacing w:line="480" w:lineRule="auto"/>
        <w:ind w:firstLine="720"/>
        <w:rPr>
          <w:color w:val="000000"/>
        </w:rPr>
      </w:pPr>
      <w:r>
        <w:rPr>
          <w:color w:val="000000"/>
        </w:rPr>
        <w:t xml:space="preserve">From the neo-functionalist perspective, the Eurozone Crisis was an economic shock that shows the effectiveness of problem-solving that leads to supranational institutional authorities that are better equipped at handling future shocks and preventing shocks in the future. From the </w:t>
      </w:r>
      <w:r>
        <w:rPr>
          <w:color w:val="000000"/>
        </w:rPr>
        <w:lastRenderedPageBreak/>
        <w:t xml:space="preserve">authors used in the expansion of this argument, they had showed historical explanations for the development of the Eurozone Crisis such as from the articles published by Frieden and Walter, </w:t>
      </w:r>
      <w:r w:rsidR="00DF00E0" w:rsidRPr="003C7EB3">
        <w:rPr>
          <w:color w:val="222222"/>
          <w:shd w:val="clear" w:color="auto" w:fill="FFFFFF"/>
        </w:rPr>
        <w:t>Höing</w:t>
      </w:r>
      <w:r w:rsidR="00DF00E0">
        <w:rPr>
          <w:color w:val="000000"/>
        </w:rPr>
        <w:t xml:space="preserve"> </w:t>
      </w:r>
      <w:r>
        <w:rPr>
          <w:color w:val="000000"/>
        </w:rPr>
        <w:t xml:space="preserve">and Kunstein, Schimmelfennig, Caporaso and Kim, and Eichengreen. They were used to help develop the timeline of the Eurozone Crisis, but also to show that member states had variations in their economic policies at the national level. The explanations from the articles published by Askari and Chatterjee, Buti and Carnot, and Vilpišauskas further explain the pre-Eurozone Crisis climate. Buti and Carnot focus a lot on the earlier lessons that are to be learned from the crisis which influenced the governance changes that would occur as a result. Askai and Chatterjee also talk about the market integration that occurred and the role that the euro played prior to the Eurozone crisis. In Vilpišauskas’ article, there is a lot more mention regarding the crisis at the beginning, but then compare both the neo-functionalist and liberal </w:t>
      </w:r>
      <w:r w:rsidR="00DF00E0">
        <w:rPr>
          <w:color w:val="000000"/>
        </w:rPr>
        <w:t>intergovernmentalism</w:t>
      </w:r>
      <w:r>
        <w:rPr>
          <w:color w:val="000000"/>
        </w:rPr>
        <w:t xml:space="preserve"> arguments of the crisis. This can contribute much to the research in terms of neofunctionalism’s role throughout the crisis and in the results from the crisis, but it is able to incorporate the integration that resulted. The article from Begg and Dawson goes over the details of the post-Eurozone Crisis climate. When considering the crisis created after-effects when it comes to the regulations and supervision that resulted from the crisis and the further governance of the EU (a supranational institution that helps include the neo-functionalist perspective). The supranational institutions gaining the authorities rather than at the national level can be seen in the articles from Benassy-Quere and Turkisch, and Hall and Franzese which helps tell the story of the ECB’s governance and independence since the Eurozone crisis. The comparative models that are highlighted in Schimmelfennig and Copelovitch and Walter tie in comparisons between different crises as well as the differences in political economies which </w:t>
      </w:r>
      <w:r w:rsidR="00D87E67">
        <w:rPr>
          <w:color w:val="000000"/>
        </w:rPr>
        <w:t>can</w:t>
      </w:r>
      <w:r>
        <w:rPr>
          <w:color w:val="000000"/>
        </w:rPr>
        <w:t xml:space="preserve"> highlight the timeline of the crisis but to gain further insight in integration aspects that resulted from the Eurozone </w:t>
      </w:r>
      <w:r>
        <w:rPr>
          <w:color w:val="000000"/>
        </w:rPr>
        <w:lastRenderedPageBreak/>
        <w:t xml:space="preserve">crisis. Furthermore, in terms of connecting the structuring of problem-solving that occurs when a problem needs to be solved, the readings from Kollárik, Niemann, Niemann and Ioannou, and Pierson contribute more information on how neo-functionalism plays a theoretical role in the timeline prior, during, and after the Eurozone crisis. Of the many literature published by these authors, there is many expansions of the argument of understanding the importance of the Eurozone Crisis when it comes to the EMU; however, this paper will delve more into the neo-functionalist argument to enhance the grounds for why the Eurozone Crisis was an aspect of problem-solving that </w:t>
      </w:r>
      <w:r w:rsidR="00D87E67">
        <w:rPr>
          <w:color w:val="000000"/>
        </w:rPr>
        <w:t>occurred</w:t>
      </w:r>
      <w:r>
        <w:rPr>
          <w:color w:val="000000"/>
        </w:rPr>
        <w:t xml:space="preserve"> before the crisis that led to the creation of supranational institutions to better the outcomes that occurred.</w:t>
      </w:r>
    </w:p>
    <w:p w14:paraId="35D3D952" w14:textId="77777777" w:rsidR="006527FB" w:rsidRPr="006527FB" w:rsidRDefault="006527FB" w:rsidP="006527FB">
      <w:pPr>
        <w:spacing w:line="480" w:lineRule="auto"/>
        <w:rPr>
          <w:color w:val="000000"/>
        </w:rPr>
      </w:pPr>
    </w:p>
    <w:p w14:paraId="334734D8" w14:textId="737F76CB" w:rsidR="00934167" w:rsidRPr="00934167" w:rsidRDefault="00934167" w:rsidP="00934167">
      <w:pPr>
        <w:spacing w:line="480" w:lineRule="auto"/>
        <w:jc w:val="center"/>
      </w:pPr>
      <w:r w:rsidRPr="00934167">
        <w:rPr>
          <w:b/>
          <w:bCs/>
          <w:color w:val="000000"/>
        </w:rPr>
        <w:t>Pre-Eurozone Crisis</w:t>
      </w:r>
    </w:p>
    <w:p w14:paraId="6BEEFCF1" w14:textId="77777777" w:rsidR="00FF3BAE" w:rsidRDefault="00FF3BAE" w:rsidP="00FF3BAE">
      <w:pPr>
        <w:pStyle w:val="NormalWeb"/>
        <w:spacing w:before="0" w:beforeAutospacing="0" w:after="0" w:afterAutospacing="0" w:line="480" w:lineRule="auto"/>
      </w:pPr>
      <w:r>
        <w:rPr>
          <w:color w:val="000000"/>
        </w:rPr>
        <w:t>​​</w:t>
      </w:r>
      <w:r>
        <w:rPr>
          <w:b/>
          <w:bCs/>
          <w:color w:val="000000"/>
        </w:rPr>
        <w:t>Brief Explanation of the Maastricht Treaty:</w:t>
      </w:r>
    </w:p>
    <w:p w14:paraId="793F2EA9" w14:textId="2B97E6F0" w:rsidR="00FF3BAE" w:rsidRDefault="00FF3BAE" w:rsidP="00C075D3">
      <w:pPr>
        <w:spacing w:line="480" w:lineRule="auto"/>
        <w:ind w:firstLine="720"/>
        <w:rPr>
          <w:color w:val="000000"/>
        </w:rPr>
      </w:pPr>
      <w:r>
        <w:rPr>
          <w:color w:val="000000"/>
        </w:rPr>
        <w:t xml:space="preserve">With the SEA Treaty that helped to create the Single Market for the European Community (EC), the EC had a market that introduced the four freedoms and the five competences which helped with the lowering of barriers in trade as well as the harmonization and mutual recognition that would occur between member states. After the effective implementation of the SEA Treaty’s proposals for the deeper integration and the free movement to reduce the barriers between member states, the Maastricht Treaty came into effect in 1992. What the Maastricht Treaty entailed was the creation of a single currency, the euro, which plays a crucial role of the EU today because member states would give up their own national currencies, such as the Deutsche Mark or the French Franc, to converge into using the euro. The member states, </w:t>
      </w:r>
      <w:r w:rsidR="00D87E67">
        <w:rPr>
          <w:color w:val="000000"/>
        </w:rPr>
        <w:t>to</w:t>
      </w:r>
      <w:r>
        <w:rPr>
          <w:color w:val="000000"/>
        </w:rPr>
        <w:t xml:space="preserve"> be granted access into the Eurozone, would have to mark off all the convergence criteria outlined in the Maastricht Treaty to be checked off as safe in the Eurozone. </w:t>
      </w:r>
      <w:r>
        <w:rPr>
          <w:color w:val="000000"/>
        </w:rPr>
        <w:lastRenderedPageBreak/>
        <w:t xml:space="preserve">Though it would not be out into effect in 1992 when the Maastricht Treaty was signed, the idea of having a single currency was important and it marked a pivotal point in the EU. Furthermore, the Maastricht Treaty established the ‘strictly independent’ ECB which has a primary focus of price stability for the euro (Buti and Carnot, </w:t>
      </w:r>
      <w:r w:rsidR="00D87E67">
        <w:rPr>
          <w:color w:val="000000"/>
        </w:rPr>
        <w:t>900</w:t>
      </w:r>
      <w:r>
        <w:rPr>
          <w:color w:val="000000"/>
        </w:rPr>
        <w:t xml:space="preserve">). The Maastricht Treaty established the starting foundations for the beginning of the EU’s EMU; however, even with the initial effectiveness and though the innovations of the EMU were seen as being good for the EU as it became more integrated, the ideas were not used effectively and the structural framework in place was not used to the highest potential. </w:t>
      </w:r>
    </w:p>
    <w:p w14:paraId="16639B0B" w14:textId="77777777" w:rsidR="00FF3BAE" w:rsidRDefault="00FF3BAE" w:rsidP="00C075D3">
      <w:pPr>
        <w:pStyle w:val="NormalWeb"/>
        <w:spacing w:before="0" w:beforeAutospacing="0" w:after="0" w:afterAutospacing="0" w:line="480" w:lineRule="auto"/>
      </w:pPr>
      <w:r>
        <w:rPr>
          <w:b/>
          <w:bCs/>
          <w:color w:val="000000"/>
        </w:rPr>
        <w:t>Maastricht Treaty Failures:</w:t>
      </w:r>
    </w:p>
    <w:p w14:paraId="063FA0E8" w14:textId="3154DE93" w:rsidR="00FF3BAE" w:rsidRDefault="00FF3BAE" w:rsidP="00C075D3">
      <w:pPr>
        <w:pStyle w:val="NormalWeb"/>
        <w:spacing w:before="0" w:beforeAutospacing="0" w:after="0" w:afterAutospacing="0" w:line="480" w:lineRule="auto"/>
        <w:ind w:firstLine="720"/>
      </w:pPr>
      <w:r>
        <w:rPr>
          <w:color w:val="000000"/>
        </w:rPr>
        <w:t xml:space="preserve">There </w:t>
      </w:r>
      <w:r w:rsidR="00C075D3">
        <w:rPr>
          <w:color w:val="000000"/>
        </w:rPr>
        <w:t>were</w:t>
      </w:r>
      <w:r>
        <w:rPr>
          <w:color w:val="000000"/>
        </w:rPr>
        <w:t xml:space="preserve"> shortcomings that occurred from the incomplete architectural framework of the Maastricht Treaty for the EMU within the EU. Among the four freedoms that was introduced by the SEA treaty, one of the most important of the free moving components was capital. The free movement of capital created an opportunity for capital to cross into other countries at a fast rate because of the removal of capital barriers and flows from the interconnectedness of the national economies in the EU. However, the European EMU that was developed in the Maastricht Treaty had ‘lax’ regulations had allowed for the fast flow of money moving out of states to states that gave higher rates of return for investors. Though there was integration that developed, there did not seem to be deep integration that influenced the capital flow regulations that were volatile. The structure to allow for the rapid movement of capital across border was not properly structured for the safe passage of capital movement, and that was easily manipulated by the member states. The lucrative movement of capital </w:t>
      </w:r>
      <w:r w:rsidR="00D87E67">
        <w:rPr>
          <w:color w:val="000000"/>
        </w:rPr>
        <w:t>to</w:t>
      </w:r>
      <w:r>
        <w:rPr>
          <w:color w:val="000000"/>
        </w:rPr>
        <w:t xml:space="preserve"> receive the highest rate of return was due in part to the imbalances that occurred between member states. Some states had higher interest rates who would borrow than those that had lower interest rates who were lent funds. </w:t>
      </w:r>
      <w:r>
        <w:rPr>
          <w:color w:val="000000"/>
        </w:rPr>
        <w:lastRenderedPageBreak/>
        <w:t>This volatility ended up fueling a credit boom within the states which would then transform itself into price asset bubbles within the housing sectors of these states. But with the price asset bubbles that would form, they would eventually burst and then banks would end up in crises where they would need to be bailed out by their governments because of the risky loaning that underwent during the credit boom. As a result of these risky behaviours, all investors would pull out their money flow causing a sovereign debt crisis within the Eurozone. </w:t>
      </w:r>
    </w:p>
    <w:p w14:paraId="520CA8B1" w14:textId="77468A23" w:rsidR="00FF3BAE" w:rsidRDefault="00F636F8" w:rsidP="00F636F8">
      <w:pPr>
        <w:spacing w:line="480" w:lineRule="auto"/>
        <w:ind w:firstLine="720"/>
        <w:rPr>
          <w:color w:val="000000"/>
        </w:rPr>
      </w:pPr>
      <w:r>
        <w:rPr>
          <w:color w:val="000000"/>
        </w:rPr>
        <w:t xml:space="preserve">Though the Maastricht Treaty was signed into force prior to the Eurozone Crisis, the EU had no sense of knowing that the Eurozone Crisis would occur. However, the Maastricht Treaty did bring in further issues in the form of another incomplete architecture after the SEA. The Maastricht treaty had delved more into the aspect of talking about the convergence of economic policies. Of the mentioned convergence criteria, there was the idea of an inflation rate convergences in which the inflation rate could not be more than 1.5 percentage points higher than the average of the three lowest inflation rates among the EU member states, an interest rate convergence for which the interest rate could not be more than two percentage points higher than the average of three lowest inflation rates, a budget deficit ceiling for which the nation state’s budget deficit/Gross Domestic Product (GDP) ratio could not exceed three percent, a government debt ceiling for which the gross government deficit/GDP ratio could not exceed 60 percent, and a ERM-2 membership which entailed that states could not manipulate its exchange rates for two years prior in joining the Eurozone (Ferenc, 81). This is important in the idea of the Eurozone Crisis because though the criteria were well-endowed and created a sense of structuring, this was not sufficiently crafted because most of the regulations was left up to the nation-states discretion to create the structure in their national economies. In addition, there were states that were able to ‘cook the books’ to join the Eurozone that would eventually lead them to </w:t>
      </w:r>
      <w:r>
        <w:rPr>
          <w:color w:val="000000"/>
        </w:rPr>
        <w:lastRenderedPageBreak/>
        <w:t>fall first in the beginning of the crisis - Greece. Regardless</w:t>
      </w:r>
      <w:r w:rsidR="004E6437">
        <w:rPr>
          <w:color w:val="000000"/>
        </w:rPr>
        <w:t xml:space="preserve">, </w:t>
      </w:r>
      <w:r>
        <w:rPr>
          <w:color w:val="000000"/>
        </w:rPr>
        <w:t>Greece would be considered an outlier in this, but for other affected member states, the regulatory framework was not structured to a way that all members of the Eurozone would be analyzed and viewed across the board, but it would vary from member state to member state. Though the Maastricht Treaty had pushed for more integration with the criteria that would allow for member states to interconnect economies among each other, the member states varied because of the economic climate which had showed interdependence between the states in the Eurozone. This would come in the form of debtor and creditor states for which their differing economies and economic structures allowed for them to either become a creditor or a debtor state. In becoming either one, a debtor or a creditor, showed the microeconomic structures of different states which grew at faster rates than others and showed differences in what would be in their economies: prices of goods, loans, wages, and many others. In the Frieden and Walter piece, the authors show that Germany and Spain differed in their inflation rates for which Germany maintained a 1.5% inflation rate and Spain had a 3.2% inflation rate</w:t>
      </w:r>
      <w:r w:rsidR="004E6437">
        <w:rPr>
          <w:color w:val="000000"/>
        </w:rPr>
        <w:t xml:space="preserve"> (373)</w:t>
      </w:r>
      <w:r>
        <w:rPr>
          <w:color w:val="000000"/>
        </w:rPr>
        <w:t>. Which means that each member state had its own economic structure that was not completely integration with other states and that was a flaw that perpetuated the crisis because though there was a need for integration, there was more interdependence and no sole structure for all members of the Eurozone.</w:t>
      </w:r>
    </w:p>
    <w:p w14:paraId="25B385EF" w14:textId="02FD0C15" w:rsidR="00F636F8" w:rsidRDefault="004E6437" w:rsidP="00F636F8">
      <w:pPr>
        <w:spacing w:line="480" w:lineRule="auto"/>
        <w:ind w:firstLine="720"/>
      </w:pPr>
      <w:r>
        <w:rPr>
          <w:color w:val="000000"/>
        </w:rPr>
        <w:t xml:space="preserve">In the Maastricht Treaty that pushed for integration because it wanted a single currency, the structuring of a sole economic framework was not advocated even with the single currency being founded. The introduction of the idea of a single currency, though talked about during the Maastricht Treaty, would not be an effect until 1999 for which the mentioned convergence criteria would have all member states, except for the United Kingdom, come into full compliance. However, as mentioned earlier, the members of the Eurozone were in compliance </w:t>
      </w:r>
      <w:r>
        <w:rPr>
          <w:color w:val="000000"/>
        </w:rPr>
        <w:lastRenderedPageBreak/>
        <w:t xml:space="preserve">with completing the criteria before being allowed in the Eurozone, but there was economic interdependence between states. Furthermore, the Maastricht Treaty established the ‘strictly independent’ ECB which has a primary focus of price stability for the euro (Buti and Carnot, </w:t>
      </w:r>
      <w:r w:rsidR="00DF00E0">
        <w:rPr>
          <w:color w:val="000000"/>
        </w:rPr>
        <w:t>900</w:t>
      </w:r>
      <w:r>
        <w:rPr>
          <w:color w:val="000000"/>
        </w:rPr>
        <w:t xml:space="preserve">). </w:t>
      </w:r>
      <w:r w:rsidR="00DF00E0">
        <w:rPr>
          <w:color w:val="000000"/>
        </w:rPr>
        <w:t>The</w:t>
      </w:r>
      <w:r>
        <w:rPr>
          <w:color w:val="000000"/>
        </w:rPr>
        <w:t xml:space="preserve"> Maastricht Treaty wanted to have </w:t>
      </w:r>
      <w:r w:rsidR="00DF00E0">
        <w:rPr>
          <w:color w:val="000000"/>
        </w:rPr>
        <w:t>an</w:t>
      </w:r>
      <w:r>
        <w:rPr>
          <w:color w:val="000000"/>
        </w:rPr>
        <w:t xml:space="preserve"> interconnected economy between states, but it was incomplete because some states grew faster than others because some states had account surpluses and others had account deficits (Frieden and Walter, 373). And in that rapid growth, there were price asset bubbles that would grow and burst as it did during the Eurozone Crisis. For the Maastricht Treaty, though the ideas of converging economic policies, the introduction of the single currency, and the ECB were a continuation of the good ideas that stemmed from the SEA, they were incomplete. There was not a sufficiently structured, architectural framework </w:t>
      </w:r>
      <w:r w:rsidR="00D87E67">
        <w:rPr>
          <w:color w:val="000000"/>
        </w:rPr>
        <w:t>to</w:t>
      </w:r>
      <w:r>
        <w:rPr>
          <w:color w:val="000000"/>
        </w:rPr>
        <w:t xml:space="preserve"> safely give harmonization for the EMU within the EU. Though the macroeconomic conditions between the period after the Maastricht Treaty was seen, the EU had not maintained a sufficient advantage over them to build a foundation framework for the EMU (Buti and Carnot, </w:t>
      </w:r>
      <w:r w:rsidR="00D87E67">
        <w:rPr>
          <w:color w:val="000000"/>
        </w:rPr>
        <w:t>901</w:t>
      </w:r>
      <w:r>
        <w:rPr>
          <w:color w:val="000000"/>
        </w:rPr>
        <w:t xml:space="preserve">). In the Buti and Carnot piece, the authors had explained the situation that arose from the Maastricht Treaty such as the ECB not being used effectively by only giving it the primary goal of price stability, the financial supervision being managed at the national level, as well as the lack of bailout clauses that prohibited the monetary financing of budgetary deficits and prohibited intergovernmental bailouts (Buti and Carnot, </w:t>
      </w:r>
      <w:r w:rsidR="00D87E67">
        <w:rPr>
          <w:color w:val="000000"/>
        </w:rPr>
        <w:t>900</w:t>
      </w:r>
      <w:r>
        <w:rPr>
          <w:color w:val="000000"/>
        </w:rPr>
        <w:t xml:space="preserve">). The ECB tried to make sure to use what it could to achieve/maintain its goal of price stability, but it would have to choose interest rates that would benefit countries that grew slower than others while trying to reduce the likelihood of the rapid movement of capital. However, this will be further explored in the later section of the paper. Nevertheless, this idea shows that there was not a sufficiently capable regulatory </w:t>
      </w:r>
      <w:r>
        <w:rPr>
          <w:color w:val="000000"/>
        </w:rPr>
        <w:lastRenderedPageBreak/>
        <w:t>framework in place that would allow the supranational level to alleviate any of the problems should they occur.</w:t>
      </w:r>
    </w:p>
    <w:p w14:paraId="4761B13C" w14:textId="4B24EC15" w:rsidR="003303F9" w:rsidRPr="003303F9" w:rsidRDefault="003303F9" w:rsidP="00C075D3">
      <w:pPr>
        <w:spacing w:line="480" w:lineRule="auto"/>
      </w:pPr>
      <w:r w:rsidRPr="003303F9">
        <w:rPr>
          <w:b/>
          <w:bCs/>
          <w:color w:val="000000"/>
        </w:rPr>
        <w:t>Neo-functionalism in the</w:t>
      </w:r>
      <w:r w:rsidR="004E6437">
        <w:rPr>
          <w:b/>
          <w:bCs/>
          <w:color w:val="000000"/>
        </w:rPr>
        <w:t xml:space="preserve"> Maastricht Treaty</w:t>
      </w:r>
      <w:r w:rsidRPr="003303F9">
        <w:rPr>
          <w:b/>
          <w:bCs/>
          <w:color w:val="000000"/>
        </w:rPr>
        <w:t>:</w:t>
      </w:r>
    </w:p>
    <w:p w14:paraId="3C8BB3A3" w14:textId="2311DF35" w:rsidR="004E6437" w:rsidRDefault="004E6437" w:rsidP="008747AA">
      <w:pPr>
        <w:pStyle w:val="NormalWeb"/>
        <w:spacing w:before="0" w:beforeAutospacing="0" w:after="0" w:afterAutospacing="0" w:line="480" w:lineRule="auto"/>
        <w:ind w:firstLine="720"/>
      </w:pPr>
      <w:r>
        <w:rPr>
          <w:color w:val="000000"/>
        </w:rPr>
        <w:t xml:space="preserve">There were many failures that were encompassed in the structuring of the Maastricht Treaty that would lead the grounds for the crisis to occur because there was no effective preventative measure, nor was there a structure in place for the case that a crisis occurred. Therefore, pre-Eurozone Crisis shows the structuring of the environment that was encapsulated in the EU would not be able to be strong enough to hold another crisis after the Eurozone Crisis. The environment that was created from the treaty and the </w:t>
      </w:r>
      <w:r w:rsidR="00D87E67">
        <w:rPr>
          <w:color w:val="000000"/>
        </w:rPr>
        <w:t>treaty’s details</w:t>
      </w:r>
      <w:r>
        <w:rPr>
          <w:color w:val="000000"/>
        </w:rPr>
        <w:t xml:space="preserve"> shows the intentions that were brought, but it was not able to effectively prevent the crisis; the Eurozone crisis occurred not specifically from the failures, but the insufficient framework failures from the Maastricht </w:t>
      </w:r>
      <w:r w:rsidR="00D87E67">
        <w:rPr>
          <w:color w:val="000000"/>
        </w:rPr>
        <w:t>T</w:t>
      </w:r>
      <w:r>
        <w:rPr>
          <w:color w:val="000000"/>
        </w:rPr>
        <w:t>reaty laid the underlying foundations for what would occur throughout the crisis. Though the neo-functionalist lens would not be able to describe the failures of the SEA which would lead to creating the Maastricht because the adoption of the Maastricht Treaty was an enhancement of the convergence of economic cohesion, the incomplete architectural structures that was created from the treaties lead to worsening of the crisis, and thus there is the need for a solution. Throughout the crisis, the situation was caused from the 2008 Global Financial Crisis in the United States which would affect the EU. From the crisis, there was a rippling effect that shows the failures of the treaties to create an environment that would be able to contain the spillover effect from the 2008 Financial Crisis into the EU and for the member states. Furthermore, the crisis showed the weakness of the structure that member states would be able to ‘cook the books’ and that there was not a framework to help contain the problem at the supranational level. The Eurozone Crisis</w:t>
      </w:r>
      <w:r w:rsidR="005465D7">
        <w:rPr>
          <w:color w:val="000000"/>
        </w:rPr>
        <w:t>,</w:t>
      </w:r>
      <w:r>
        <w:rPr>
          <w:color w:val="000000"/>
        </w:rPr>
        <w:t xml:space="preserve"> therefore, shows the actors, at the supranational and </w:t>
      </w:r>
      <w:r>
        <w:rPr>
          <w:color w:val="000000"/>
        </w:rPr>
        <w:lastRenderedPageBreak/>
        <w:t xml:space="preserve">national levels, and the incapability to help contain the spillover effects. Neo-functionalism in seen throughout the crisis because there </w:t>
      </w:r>
      <w:r w:rsidR="005465D7">
        <w:rPr>
          <w:color w:val="000000"/>
        </w:rPr>
        <w:t>were</w:t>
      </w:r>
      <w:r>
        <w:rPr>
          <w:color w:val="000000"/>
        </w:rPr>
        <w:t xml:space="preserve"> failures that needed to be solved, and thus, after the Eurozone Crisis ends, there would be the expectation for authorities to be in place that would prevent the situation from occurring again.</w:t>
      </w:r>
    </w:p>
    <w:p w14:paraId="57D03A58" w14:textId="77777777" w:rsidR="00B76B53" w:rsidRDefault="00B76B53" w:rsidP="003303F9">
      <w:pPr>
        <w:spacing w:line="480" w:lineRule="auto"/>
        <w:jc w:val="center"/>
        <w:rPr>
          <w:b/>
          <w:bCs/>
          <w:color w:val="000000"/>
        </w:rPr>
      </w:pPr>
    </w:p>
    <w:p w14:paraId="3E1F21F9" w14:textId="5A750F13" w:rsidR="003303F9" w:rsidRPr="003303F9" w:rsidRDefault="003303F9" w:rsidP="003303F9">
      <w:pPr>
        <w:spacing w:line="480" w:lineRule="auto"/>
        <w:jc w:val="center"/>
      </w:pPr>
      <w:r w:rsidRPr="003303F9">
        <w:rPr>
          <w:b/>
          <w:bCs/>
          <w:color w:val="000000"/>
        </w:rPr>
        <w:t>The Eurozone Crisis Climate</w:t>
      </w:r>
    </w:p>
    <w:p w14:paraId="16626DF4" w14:textId="48BDC29B" w:rsidR="00783AA4" w:rsidRPr="00783AA4" w:rsidRDefault="00783AA4" w:rsidP="00CC1C30">
      <w:pPr>
        <w:spacing w:line="480" w:lineRule="auto"/>
        <w:rPr>
          <w:b/>
          <w:bCs/>
          <w:color w:val="000000"/>
        </w:rPr>
      </w:pPr>
      <w:r>
        <w:rPr>
          <w:b/>
          <w:bCs/>
          <w:color w:val="000000"/>
        </w:rPr>
        <w:t xml:space="preserve">Climate from the Maastricht </w:t>
      </w:r>
      <w:r w:rsidR="004E6437">
        <w:rPr>
          <w:b/>
          <w:bCs/>
          <w:color w:val="000000"/>
        </w:rPr>
        <w:t>Treaty</w:t>
      </w:r>
      <w:r>
        <w:rPr>
          <w:b/>
          <w:bCs/>
          <w:color w:val="000000"/>
        </w:rPr>
        <w:t>:</w:t>
      </w:r>
    </w:p>
    <w:p w14:paraId="6BA620AD" w14:textId="5BF30080" w:rsidR="008747AA" w:rsidRDefault="008747AA" w:rsidP="00783AA4">
      <w:pPr>
        <w:spacing w:line="480" w:lineRule="auto"/>
        <w:rPr>
          <w:color w:val="000000"/>
        </w:rPr>
      </w:pPr>
      <w:r>
        <w:rPr>
          <w:color w:val="000000"/>
        </w:rPr>
        <w:t xml:space="preserve">The Eurozone Crisis that embroiled the EU member states from 2009 to 2014 shows the path of credit booms due to rapid capital movements influencing the housing sector to form price asset bubbles. Those credit booms developed in nation states that funded the loans as a result of deposits given by residents and borrowing on the interbank market (Eichengreen, </w:t>
      </w:r>
      <w:r w:rsidR="00B66EC0">
        <w:rPr>
          <w:color w:val="000000"/>
        </w:rPr>
        <w:t>91</w:t>
      </w:r>
      <w:r>
        <w:rPr>
          <w:color w:val="000000"/>
        </w:rPr>
        <w:t xml:space="preserve">). However, when those price asset bubbles popped, banks within those member states were not able to handle the volatility of the capital and thus would enter into banking crises as a result of the risky loaning that occurred throughout the credit boom. However, the issues that arose from what helped perpetuate the risky behaviours made and how to help the affected member states. From the framework developed in the Maastricht treaty, there was a push for deeper integration of Eurozone member states, but there was not a sufficient structure for doing so as well as no efficient mechanism in place to </w:t>
      </w:r>
      <w:r w:rsidR="00DF00E0">
        <w:rPr>
          <w:color w:val="000000"/>
        </w:rPr>
        <w:t>help</w:t>
      </w:r>
      <w:r>
        <w:rPr>
          <w:color w:val="000000"/>
        </w:rPr>
        <w:t xml:space="preserve"> the affected member states and their economies. However, the structure proposed and implemented by the Eurozone after the Maastricht Treaty should have created a framework to which there would be no problem. However, the 2008-2009 Global Financial Crisis in the United States showed the failures within the Maastricht Treaty. What the 2008 Financial Crisis showed was the incompleteness of the framework that was initially deemed as innovated because of the issues in public finance, lack of reforms, allowing for </w:t>
      </w:r>
      <w:r>
        <w:rPr>
          <w:color w:val="000000"/>
        </w:rPr>
        <w:lastRenderedPageBreak/>
        <w:t>excessive borrowing, and competition (</w:t>
      </w:r>
      <w:r w:rsidR="00DF00E0">
        <w:rPr>
          <w:color w:val="000000"/>
        </w:rPr>
        <w:t>Vilpišauskas</w:t>
      </w:r>
      <w:r>
        <w:rPr>
          <w:color w:val="000000"/>
        </w:rPr>
        <w:t xml:space="preserve">, </w:t>
      </w:r>
      <w:r w:rsidR="00B66EC0">
        <w:rPr>
          <w:color w:val="000000"/>
        </w:rPr>
        <w:t>362</w:t>
      </w:r>
      <w:r>
        <w:rPr>
          <w:color w:val="000000"/>
        </w:rPr>
        <w:t xml:space="preserve">). The structuring of the Maastricht Treaty gave the foundations for excessive borrowing because of the free movement of capital across borders. There would also be competition that would arise because there were states that gave higher rates of return for investment than others which helped divide the </w:t>
      </w:r>
      <w:r w:rsidR="0039572D">
        <w:rPr>
          <w:color w:val="000000"/>
        </w:rPr>
        <w:t>fast-growing</w:t>
      </w:r>
      <w:r>
        <w:rPr>
          <w:color w:val="000000"/>
        </w:rPr>
        <w:t xml:space="preserve"> periphery EU member states and the inflexible core EU member states. And even with the Maastricht Treaty leading to the development of the euro and the convergence criteria, member states were able to partake in the capital movements and the competition. However, the member states were allowed to form </w:t>
      </w:r>
      <w:r w:rsidR="0039572D">
        <w:rPr>
          <w:color w:val="000000"/>
        </w:rPr>
        <w:t>their</w:t>
      </w:r>
      <w:r>
        <w:rPr>
          <w:color w:val="000000"/>
        </w:rPr>
        <w:t xml:space="preserve"> economic policies within the </w:t>
      </w:r>
      <w:r w:rsidR="00A301CD">
        <w:rPr>
          <w:color w:val="000000"/>
        </w:rPr>
        <w:t>Eurozone,</w:t>
      </w:r>
      <w:r>
        <w:rPr>
          <w:color w:val="000000"/>
        </w:rPr>
        <w:t xml:space="preserve"> and it would differ between debtor, periphery member states and creditor, core member states because even though the integration was pushed for and decided in the criteria and proposals, member states were not held to the same standard once in the Eurozone. There were also states that were able to bypass the convergence criteria and manipulate their financial records </w:t>
      </w:r>
      <w:r w:rsidR="00DF00E0">
        <w:rPr>
          <w:color w:val="000000"/>
        </w:rPr>
        <w:t>to</w:t>
      </w:r>
      <w:r>
        <w:rPr>
          <w:color w:val="000000"/>
        </w:rPr>
        <w:t xml:space="preserve"> come into the Eurozone - Greece (Eichengreen, </w:t>
      </w:r>
      <w:r w:rsidR="00B66EC0">
        <w:rPr>
          <w:color w:val="000000"/>
        </w:rPr>
        <w:t>91</w:t>
      </w:r>
      <w:r>
        <w:rPr>
          <w:color w:val="000000"/>
        </w:rPr>
        <w:t xml:space="preserve">). Though this paper will not focus on the particular member states that committed misreporting for their economic structure (Greece), member states had </w:t>
      </w:r>
      <w:r w:rsidR="0039572D">
        <w:rPr>
          <w:color w:val="000000"/>
        </w:rPr>
        <w:t>a more</w:t>
      </w:r>
      <w:r>
        <w:rPr>
          <w:color w:val="000000"/>
        </w:rPr>
        <w:t xml:space="preserve"> national economic policy structure that had more say than the supranational EMU and the framework had allowed for these issues to occur and there was not a supranational institution that could help the situation. </w:t>
      </w:r>
    </w:p>
    <w:p w14:paraId="3B7CD5FC" w14:textId="0368EF04" w:rsidR="00783AA4" w:rsidRDefault="00783AA4" w:rsidP="00783AA4">
      <w:pPr>
        <w:spacing w:line="480" w:lineRule="auto"/>
        <w:rPr>
          <w:b/>
          <w:bCs/>
        </w:rPr>
      </w:pPr>
      <w:r>
        <w:rPr>
          <w:b/>
          <w:bCs/>
        </w:rPr>
        <w:t>What the National and Supranational Levels Did Throughout the Eurozone Crisis:</w:t>
      </w:r>
    </w:p>
    <w:p w14:paraId="38909DAD" w14:textId="540D515B" w:rsidR="003303F9" w:rsidRDefault="00975ADD" w:rsidP="00975ADD">
      <w:pPr>
        <w:spacing w:line="480" w:lineRule="auto"/>
        <w:ind w:firstLine="720"/>
        <w:rPr>
          <w:color w:val="000000"/>
        </w:rPr>
      </w:pPr>
      <w:r>
        <w:rPr>
          <w:color w:val="000000"/>
        </w:rPr>
        <w:t xml:space="preserve">Before the beginning of the crisis, there was the structuring of the monetary integration; however, though the Maastricht Treaty had highlighted the need for this integration, it was up to the national and regional levels to facilitate this process of integration (Caporaso and Kim, </w:t>
      </w:r>
      <w:r w:rsidR="00B66EC0">
        <w:rPr>
          <w:color w:val="000000"/>
        </w:rPr>
        <w:t>771</w:t>
      </w:r>
      <w:r>
        <w:rPr>
          <w:color w:val="000000"/>
        </w:rPr>
        <w:t xml:space="preserve">) The actors at these levels were given control of managing their nation-state’s monetary integration in the Eurozone, and that shows one of the challenges of the Maastricht Treaty that </w:t>
      </w:r>
      <w:r>
        <w:rPr>
          <w:color w:val="000000"/>
        </w:rPr>
        <w:lastRenderedPageBreak/>
        <w:t xml:space="preserve">was mentioned earlier. </w:t>
      </w:r>
      <w:r w:rsidR="00DF00E0">
        <w:rPr>
          <w:color w:val="000000"/>
        </w:rPr>
        <w:t>To</w:t>
      </w:r>
      <w:r>
        <w:rPr>
          <w:color w:val="000000"/>
        </w:rPr>
        <w:t xml:space="preserve"> be a member of the Eurozone, the potential member states had to complete the convergence criteria to make sure that their economies could uphold the single currency without manipulations. Which, given the criteria and structuring, would be an effective tool at making sure that member states that joined would be to withstand the change to a single currency and be integrated in the Eurozone. However, the issue in that was that though member states had to pass the criteria, they did not have to be legally bounded by the criteria of a supranational level once admitted in the Eurozone. Actors at the national level were able to partake in the risky transactions due to the structure that was in place and there were no responsibilities that was put at the EU/supranational level. Which is why there was the formation of member states that had account surpluses and account deficits. From their economic and monetary policies implemented at the national levels, some states would grow faster like Ireland and Spain when compared to other states that did not grow as quickly as Germany (Frieden and Walter, 373). Furthermore, even within the states that grew substantially quickly from their economic and monetary policies, there were differences in the strict regulations that they put for their economies. For example, though Spain and Ireland were both affected by the Eurozone Crisis and had rapid growths in their economies, Spain had more stringent regulations within their economy than the Irish did</w:t>
      </w:r>
      <w:r w:rsidR="00B84A31">
        <w:rPr>
          <w:color w:val="000000"/>
        </w:rPr>
        <w:t xml:space="preserve"> (Caporaso and Kim, 770). Therefore, showing that at the national levels, the member states had authority to implement the monetary policies and regulations to the degrees that they wanted, but as a result of the lack of supranational support and supervision, the capital volatility provided grounds for the movement from member state to member state that fueled the issue.</w:t>
      </w:r>
    </w:p>
    <w:p w14:paraId="1EBC0277" w14:textId="3494DDDE" w:rsidR="00B84A31" w:rsidRDefault="00B84A31" w:rsidP="00975ADD">
      <w:pPr>
        <w:spacing w:line="480" w:lineRule="auto"/>
        <w:ind w:firstLine="720"/>
        <w:rPr>
          <w:color w:val="000000"/>
        </w:rPr>
      </w:pPr>
      <w:r>
        <w:rPr>
          <w:color w:val="000000"/>
        </w:rPr>
        <w:t xml:space="preserve">However, the Maastricht Treaty pushed for the introduction of the ECB that was given the goal for price stability. As explained earlier, with the ECB having a goal in maintaining price </w:t>
      </w:r>
      <w:r>
        <w:rPr>
          <w:color w:val="000000"/>
        </w:rPr>
        <w:lastRenderedPageBreak/>
        <w:t xml:space="preserve">stability, that means it was given authorities to achieve that goal. For example, the ECB could have the authority to create a policy that could achieve those goals which would be changing the interest rates (Frieden and Walter, 373). However, issues arise when there is variation and interdependence between member states of the Eurozone. Because of the variations in economic and monetary policies between different nations, there would have to be a commonality between the rapid growing periphery states and the slow growing core states (Frieden and Walter, 373). However, the ECB had explained that it would do all that it could to defend the euro (Schimmelfennig, </w:t>
      </w:r>
      <w:r w:rsidR="00B66EC0">
        <w:rPr>
          <w:color w:val="000000"/>
        </w:rPr>
        <w:t>19</w:t>
      </w:r>
      <w:r>
        <w:rPr>
          <w:color w:val="000000"/>
        </w:rPr>
        <w:t xml:space="preserve">). Regardless, the structure of the lack of integration between member states and the lack of movement that the ECB could do because of the variation shows that at the supranational level, there was not much that could be done. The affected member states had to have their banks be bailed out by their governments, which for some worked well in their </w:t>
      </w:r>
      <w:r w:rsidR="005465D7">
        <w:rPr>
          <w:color w:val="000000"/>
        </w:rPr>
        <w:t>favors</w:t>
      </w:r>
      <w:r>
        <w:rPr>
          <w:color w:val="000000"/>
        </w:rPr>
        <w:t xml:space="preserve">. </w:t>
      </w:r>
      <w:r w:rsidR="005465D7">
        <w:rPr>
          <w:color w:val="000000"/>
        </w:rPr>
        <w:t>However</w:t>
      </w:r>
      <w:r>
        <w:rPr>
          <w:color w:val="000000"/>
        </w:rPr>
        <w:t>, the crisis itself showed that there was not a foundation that was put in place that helped in preventing the crisis. There were imbalanced interactions between member states and a framework that gave more economic regulatory authorities to the national level, that allowed for the crisis to occur. In that, the issues that arose from the Maastricht Treaty’s proposals create the foundations for a crisis to occur after the 2008 Global Financial Crisis that showed there needed to be a revamp to solve the situation. Though the affected member states’ banks were bailed out by their national governments, this situation shows that there needed to be a supranational institution to handle the situation and have prevented the occurrence of the situation.</w:t>
      </w:r>
    </w:p>
    <w:p w14:paraId="488534FC" w14:textId="77777777" w:rsidR="00B76B53" w:rsidRDefault="00B76B53" w:rsidP="00B84A31">
      <w:pPr>
        <w:spacing w:line="480" w:lineRule="auto"/>
        <w:jc w:val="center"/>
        <w:rPr>
          <w:b/>
          <w:bCs/>
          <w:color w:val="000000"/>
        </w:rPr>
      </w:pPr>
    </w:p>
    <w:p w14:paraId="1FC344D8" w14:textId="6A5B3821" w:rsidR="00B84A31" w:rsidRDefault="00B84A31" w:rsidP="00B84A31">
      <w:pPr>
        <w:spacing w:line="480" w:lineRule="auto"/>
        <w:jc w:val="center"/>
        <w:rPr>
          <w:b/>
          <w:bCs/>
          <w:color w:val="000000"/>
        </w:rPr>
      </w:pPr>
      <w:r>
        <w:rPr>
          <w:b/>
          <w:bCs/>
          <w:color w:val="000000"/>
        </w:rPr>
        <w:t>Post-Eurozone Crisis</w:t>
      </w:r>
    </w:p>
    <w:p w14:paraId="002B1F2B" w14:textId="215524E4" w:rsidR="00B84A31" w:rsidRDefault="00B76B53" w:rsidP="00FB7359">
      <w:pPr>
        <w:spacing w:line="480" w:lineRule="auto"/>
        <w:rPr>
          <w:b/>
          <w:bCs/>
          <w:color w:val="000000"/>
        </w:rPr>
      </w:pPr>
      <w:r>
        <w:rPr>
          <w:b/>
          <w:bCs/>
          <w:color w:val="000000"/>
        </w:rPr>
        <w:t>The Banking Union and the European Central Bank:</w:t>
      </w:r>
    </w:p>
    <w:p w14:paraId="3809C047" w14:textId="5731736F" w:rsidR="005465D7" w:rsidRDefault="00FB7359" w:rsidP="005465D7">
      <w:pPr>
        <w:spacing w:line="480" w:lineRule="auto"/>
        <w:ind w:firstLine="720"/>
        <w:rPr>
          <w:color w:val="000000"/>
        </w:rPr>
      </w:pPr>
      <w:r>
        <w:rPr>
          <w:color w:val="000000"/>
        </w:rPr>
        <w:lastRenderedPageBreak/>
        <w:t xml:space="preserve">Prior to the Eurozone Crisis, integration was sought for the Eurozone to develop itself within the EU and its member states; however, the Maastricht Treaty was not able to give a strong foundation framework for this to happen. Thus, the Eurozone Crisis occurred due to the failures of the Maastricht Treaty as a result of the 2008 Global Financial </w:t>
      </w:r>
      <w:r w:rsidR="005465D7">
        <w:rPr>
          <w:color w:val="000000"/>
        </w:rPr>
        <w:t>Crisis and</w:t>
      </w:r>
      <w:r>
        <w:rPr>
          <w:color w:val="000000"/>
        </w:rPr>
        <w:t xml:space="preserve"> highlighted the need for the broken framework to be solved </w:t>
      </w:r>
      <w:r w:rsidR="00DF00E0">
        <w:rPr>
          <w:color w:val="000000"/>
        </w:rPr>
        <w:t>to</w:t>
      </w:r>
      <w:r>
        <w:rPr>
          <w:color w:val="000000"/>
        </w:rPr>
        <w:t xml:space="preserve"> prevent another crisis from occurring. For that, though the Eurozone Crisis occurred from 2009 to 2014, the problems from during the Eurozone Crisis allowed for the creation of the solution which was the Banking Union that was founded in 2012 that gave the ECB regulatory and supervisory mechanisms to prevent another crisis from occurring. In that essence, the supranational institutions talked about in the Maastricht Treaty were able to receive a stronger presence in the Eurozone because of the problems that were caused by the variations of regulations and economic policies between member states. The problems with the lack of integration measures that allowed for growth in some member states and stunted growth in other member states highlighted the problems of not having a cohesive and structured framework that is applicable for all member states. For that, the Eurozone Crisis developed causing states to enter banking crises and balance of payment crises, but that crisis allowed the EU to notice the failures of the Maastricht in developing the Eurozone with the incompleteness. Though the states were able to get bailed out by its national governments, there needed to be prevention of future problems and to create a better, more sufficient structure which came in the form of the Banking Union. What the Banking Union introduced were supervisory and regulatory measures for the ECB like giving the ECB authorities to conduct stress tests as well expansionary measures of how to harmonize and integrate member states into applying the financial regulations within their economies (Frieden and Walter, 382).</w:t>
      </w:r>
      <w:r w:rsidR="00221531">
        <w:rPr>
          <w:color w:val="000000"/>
        </w:rPr>
        <w:t xml:space="preserve"> These measures are important because they were designed to be able to combat </w:t>
      </w:r>
      <w:r w:rsidR="00221531">
        <w:rPr>
          <w:color w:val="000000"/>
        </w:rPr>
        <w:lastRenderedPageBreak/>
        <w:t xml:space="preserve">what the failures should. With the variations among member states’ economies, it fueled the capital volatilities that produced rapid growth for some member states that resulted in price asset bubbles. Therefore, creating a harmonization between member states would require financial regulations that are applicable to all member states by removing the variations. That supervision and harmonization of policies will come from the ECB which means that, as result of the Eurozone Crisis, they receive more authorities than what they had because of the Maastricht Treaty. In the stress tests that the ECB are able to conduct is used to test the banks to make sure that they are able to withstand shocks such as what occurred with the bursting of price asset bubbles. For the convergence criteria outlined in the Maastricht Treaty that was not </w:t>
      </w:r>
      <w:r w:rsidR="005465D7">
        <w:rPr>
          <w:color w:val="000000"/>
        </w:rPr>
        <w:t>forced</w:t>
      </w:r>
      <w:r w:rsidR="00221531">
        <w:rPr>
          <w:color w:val="000000"/>
        </w:rPr>
        <w:t xml:space="preserve"> after member states entered the Eurozone, this would mean that on top of member states having to complete the criteria, their banking infrastructure needs to be up to the standard of withstanding economic shocks like the 2008 Global Financial Crisis and the Eurozone Crisis.</w:t>
      </w:r>
      <w:r w:rsidR="005465D7">
        <w:rPr>
          <w:color w:val="000000"/>
        </w:rPr>
        <w:t xml:space="preserve"> The granting of these authorities to the ECB by the Banking Union and in the post-Eurozone era, shows that there are more supranational institutional power </w:t>
      </w:r>
      <w:r w:rsidR="00DF00E0">
        <w:rPr>
          <w:color w:val="000000"/>
        </w:rPr>
        <w:t>helps</w:t>
      </w:r>
      <w:r w:rsidR="005465D7">
        <w:rPr>
          <w:color w:val="000000"/>
        </w:rPr>
        <w:t xml:space="preserve"> the economic infrastructure of the Eurozone and the transition from national level authorities to supranational authorities occurs after the economic shocks to the infrastructure, and supranational institutions are better equipped at handling the prevention of the crisis.</w:t>
      </w:r>
    </w:p>
    <w:p w14:paraId="348CE27A" w14:textId="77777777" w:rsidR="005465D7" w:rsidRDefault="005465D7" w:rsidP="005465D7">
      <w:pPr>
        <w:spacing w:line="480" w:lineRule="auto"/>
        <w:ind w:firstLine="720"/>
        <w:jc w:val="center"/>
        <w:rPr>
          <w:b/>
          <w:bCs/>
          <w:color w:val="000000"/>
        </w:rPr>
      </w:pPr>
      <w:r>
        <w:rPr>
          <w:b/>
          <w:bCs/>
          <w:color w:val="000000"/>
        </w:rPr>
        <w:t>Conclusion</w:t>
      </w:r>
    </w:p>
    <w:p w14:paraId="3A3B4D88" w14:textId="5D31E919" w:rsidR="007A16BF" w:rsidRDefault="00BD176A" w:rsidP="005465D7">
      <w:pPr>
        <w:spacing w:line="480" w:lineRule="auto"/>
        <w:ind w:firstLine="720"/>
        <w:rPr>
          <w:b/>
          <w:bCs/>
          <w:color w:val="000000"/>
        </w:rPr>
      </w:pPr>
      <w:r>
        <w:rPr>
          <w:b/>
          <w:bCs/>
          <w:color w:val="000000"/>
        </w:rPr>
        <w:tab/>
      </w:r>
      <w:r>
        <w:rPr>
          <w:color w:val="000000"/>
        </w:rPr>
        <w:t xml:space="preserve">Throughout this paper, the Eurozone Crisis highlighted the ineffectiveness of the structure produced by the Maastricht Treaty because of the high national level authorities over the supranational level authorities. This economic shock should the effectiveness of problem-solving which led to the creation of supranational institutional authorities, like the ECB, who are better equipped at handling future shocks and preventing shocks in the future. In comparison to </w:t>
      </w:r>
      <w:r>
        <w:rPr>
          <w:color w:val="000000"/>
        </w:rPr>
        <w:lastRenderedPageBreak/>
        <w:t xml:space="preserve">sentiment against the integration of member states, the supranational institutional architecture can be better endowed at preventing crises or the scale of the crisis, and future research whether in the EU or other global areas shows that the regulatory frameworks done at supranational levels could be recommended at providing support. Though this paper did not go into depth about specific countries within the GIIPS (Greece, Italy, Ireland, </w:t>
      </w:r>
      <w:r w:rsidR="00DF00E0">
        <w:rPr>
          <w:color w:val="000000"/>
        </w:rPr>
        <w:t>Portugal,</w:t>
      </w:r>
      <w:r>
        <w:rPr>
          <w:color w:val="000000"/>
        </w:rPr>
        <w:t xml:space="preserve"> and Spain) that were affected from the Eurozone Crisis, future research that can delve into the specificities of differences of economic and monetary policies between those states and/or with the core states in the Eurozone could further enhance the neo-functionalist lens of problem-solving. Furthermore, with the idea that another crisis of this capability has not occurred recently, or might not occur in the same way, could that create another shock that would open up the inefficiencies of the current Eurozone environment to create an updated supranational institutional framework that would enhance future research?</w:t>
      </w:r>
      <w:r w:rsidR="007A16BF">
        <w:rPr>
          <w:b/>
          <w:bCs/>
          <w:color w:val="000000"/>
        </w:rPr>
        <w:br w:type="page"/>
      </w:r>
    </w:p>
    <w:p w14:paraId="581EEEFD" w14:textId="77777777" w:rsidR="007A16BF" w:rsidRPr="003C7EB3" w:rsidRDefault="007A16BF" w:rsidP="007A16BF">
      <w:pPr>
        <w:spacing w:after="240" w:line="480" w:lineRule="auto"/>
        <w:jc w:val="center"/>
      </w:pPr>
      <w:r>
        <w:lastRenderedPageBreak/>
        <w:t>Bibliography</w:t>
      </w:r>
    </w:p>
    <w:p w14:paraId="35C33674" w14:textId="77777777" w:rsidR="007A16BF" w:rsidRPr="003C7EB3" w:rsidRDefault="007A16BF" w:rsidP="007A16BF">
      <w:pPr>
        <w:spacing w:line="480" w:lineRule="auto"/>
        <w:ind w:left="720" w:hanging="720"/>
      </w:pPr>
      <w:r w:rsidRPr="003C7EB3">
        <w:rPr>
          <w:color w:val="222222"/>
          <w:shd w:val="clear" w:color="auto" w:fill="FFFFFF"/>
        </w:rPr>
        <w:t xml:space="preserve">Askari, H., &amp; Chatterjee, J. (2005). The Euro and financial market integration. </w:t>
      </w:r>
      <w:r w:rsidRPr="003C7EB3">
        <w:rPr>
          <w:i/>
          <w:iCs/>
          <w:color w:val="222222"/>
          <w:shd w:val="clear" w:color="auto" w:fill="FFFFFF"/>
        </w:rPr>
        <w:t>JCMS: Journal of Common Market Studies</w:t>
      </w:r>
      <w:r w:rsidRPr="003C7EB3">
        <w:rPr>
          <w:color w:val="222222"/>
          <w:shd w:val="clear" w:color="auto" w:fill="FFFFFF"/>
        </w:rPr>
        <w:t xml:space="preserve">, </w:t>
      </w:r>
      <w:r w:rsidRPr="003C7EB3">
        <w:rPr>
          <w:i/>
          <w:iCs/>
          <w:color w:val="222222"/>
          <w:shd w:val="clear" w:color="auto" w:fill="FFFFFF"/>
        </w:rPr>
        <w:t>43</w:t>
      </w:r>
      <w:r w:rsidRPr="003C7EB3">
        <w:rPr>
          <w:color w:val="222222"/>
          <w:shd w:val="clear" w:color="auto" w:fill="FFFFFF"/>
        </w:rPr>
        <w:t>(1), 1-11.</w:t>
      </w:r>
    </w:p>
    <w:p w14:paraId="1D0CD21D" w14:textId="77777777" w:rsidR="007A16BF" w:rsidRPr="003C7EB3" w:rsidRDefault="007A16BF" w:rsidP="007A16BF">
      <w:pPr>
        <w:spacing w:line="480" w:lineRule="auto"/>
        <w:ind w:left="720" w:hanging="720"/>
      </w:pPr>
      <w:r w:rsidRPr="003C7EB3">
        <w:rPr>
          <w:color w:val="222222"/>
          <w:shd w:val="clear" w:color="auto" w:fill="FFFFFF"/>
        </w:rPr>
        <w:t xml:space="preserve">Begg, I. (2009). Regulation and supervision of financial intermediaries in the EU: The aftermath of the financial crisis. </w:t>
      </w:r>
      <w:r w:rsidRPr="003C7EB3">
        <w:rPr>
          <w:i/>
          <w:iCs/>
          <w:color w:val="222222"/>
          <w:shd w:val="clear" w:color="auto" w:fill="FFFFFF"/>
        </w:rPr>
        <w:t>JCMS: Journal of Common Market Studies</w:t>
      </w:r>
      <w:r w:rsidRPr="003C7EB3">
        <w:rPr>
          <w:color w:val="222222"/>
          <w:shd w:val="clear" w:color="auto" w:fill="FFFFFF"/>
        </w:rPr>
        <w:t xml:space="preserve">, </w:t>
      </w:r>
      <w:r w:rsidRPr="003C7EB3">
        <w:rPr>
          <w:i/>
          <w:iCs/>
          <w:color w:val="222222"/>
          <w:shd w:val="clear" w:color="auto" w:fill="FFFFFF"/>
        </w:rPr>
        <w:t>47</w:t>
      </w:r>
      <w:r w:rsidRPr="003C7EB3">
        <w:rPr>
          <w:color w:val="222222"/>
          <w:shd w:val="clear" w:color="auto" w:fill="FFFFFF"/>
        </w:rPr>
        <w:t>(5), 1107-1128.</w:t>
      </w:r>
    </w:p>
    <w:p w14:paraId="0FE57170" w14:textId="77777777" w:rsidR="007A16BF" w:rsidRPr="003C7EB3" w:rsidRDefault="007A16BF" w:rsidP="007A16BF">
      <w:pPr>
        <w:spacing w:line="480" w:lineRule="auto"/>
        <w:ind w:left="720" w:hanging="720"/>
      </w:pPr>
      <w:r w:rsidRPr="003C7EB3">
        <w:rPr>
          <w:color w:val="222222"/>
          <w:shd w:val="clear" w:color="auto" w:fill="FFFFFF"/>
        </w:rPr>
        <w:t xml:space="preserve">Bénassy‐Quéré, A., &amp; Turkisch, E. (2009). The ECB Governing Council in an enlarged Euro area. </w:t>
      </w:r>
      <w:r w:rsidRPr="003C7EB3">
        <w:rPr>
          <w:i/>
          <w:iCs/>
          <w:color w:val="222222"/>
          <w:shd w:val="clear" w:color="auto" w:fill="FFFFFF"/>
        </w:rPr>
        <w:t>JCMS: Journal of Common Market Studies</w:t>
      </w:r>
      <w:r w:rsidRPr="003C7EB3">
        <w:rPr>
          <w:color w:val="222222"/>
          <w:shd w:val="clear" w:color="auto" w:fill="FFFFFF"/>
        </w:rPr>
        <w:t xml:space="preserve">, </w:t>
      </w:r>
      <w:r w:rsidRPr="003C7EB3">
        <w:rPr>
          <w:i/>
          <w:iCs/>
          <w:color w:val="222222"/>
          <w:shd w:val="clear" w:color="auto" w:fill="FFFFFF"/>
        </w:rPr>
        <w:t>47</w:t>
      </w:r>
      <w:r w:rsidRPr="003C7EB3">
        <w:rPr>
          <w:color w:val="222222"/>
          <w:shd w:val="clear" w:color="auto" w:fill="FFFFFF"/>
        </w:rPr>
        <w:t>(1), 25-53.</w:t>
      </w:r>
    </w:p>
    <w:p w14:paraId="703D936D" w14:textId="77777777" w:rsidR="007A16BF" w:rsidRDefault="007A16BF" w:rsidP="007A16BF">
      <w:pPr>
        <w:spacing w:line="480" w:lineRule="auto"/>
        <w:ind w:left="720" w:hanging="720"/>
        <w:rPr>
          <w:color w:val="222222"/>
          <w:shd w:val="clear" w:color="auto" w:fill="FFFFFF"/>
        </w:rPr>
      </w:pPr>
      <w:r w:rsidRPr="003C7EB3">
        <w:rPr>
          <w:color w:val="222222"/>
          <w:shd w:val="clear" w:color="auto" w:fill="FFFFFF"/>
        </w:rPr>
        <w:t xml:space="preserve">Buti, M., &amp; Carnot, N. (2012). The EMU debt crisis: Early lessons and reforms. </w:t>
      </w:r>
      <w:r w:rsidRPr="003C7EB3">
        <w:rPr>
          <w:i/>
          <w:iCs/>
          <w:color w:val="222222"/>
          <w:shd w:val="clear" w:color="auto" w:fill="FFFFFF"/>
        </w:rPr>
        <w:t>JCMS: Journal of Common Market Studies</w:t>
      </w:r>
      <w:r w:rsidRPr="003C7EB3">
        <w:rPr>
          <w:color w:val="222222"/>
          <w:shd w:val="clear" w:color="auto" w:fill="FFFFFF"/>
        </w:rPr>
        <w:t xml:space="preserve">, </w:t>
      </w:r>
      <w:r w:rsidRPr="003C7EB3">
        <w:rPr>
          <w:i/>
          <w:iCs/>
          <w:color w:val="222222"/>
          <w:shd w:val="clear" w:color="auto" w:fill="FFFFFF"/>
        </w:rPr>
        <w:t>50</w:t>
      </w:r>
      <w:r w:rsidRPr="003C7EB3">
        <w:rPr>
          <w:color w:val="222222"/>
          <w:shd w:val="clear" w:color="auto" w:fill="FFFFFF"/>
        </w:rPr>
        <w:t>(6), 899-911.</w:t>
      </w:r>
    </w:p>
    <w:p w14:paraId="393AF495" w14:textId="2A5FEA47" w:rsidR="007A16BF" w:rsidRPr="007A16BF" w:rsidRDefault="007A16BF" w:rsidP="007A16BF">
      <w:pPr>
        <w:spacing w:line="480" w:lineRule="auto"/>
        <w:ind w:left="720" w:hanging="720"/>
      </w:pPr>
      <w:r>
        <w:rPr>
          <w:color w:val="222222"/>
          <w:shd w:val="clear" w:color="auto" w:fill="FFFFFF"/>
        </w:rPr>
        <w:t xml:space="preserve">Caporaso, J.A., &amp; Kim, M. (2012). The Maastricht Treaty at Twenty: A Greco-European Tragedy?. </w:t>
      </w:r>
      <w:r>
        <w:rPr>
          <w:i/>
          <w:iCs/>
          <w:color w:val="222222"/>
          <w:shd w:val="clear" w:color="auto" w:fill="FFFFFF"/>
        </w:rPr>
        <w:t>Journal of European Integration</w:t>
      </w:r>
      <w:r>
        <w:rPr>
          <w:color w:val="222222"/>
          <w:shd w:val="clear" w:color="auto" w:fill="FFFFFF"/>
        </w:rPr>
        <w:t xml:space="preserve">, </w:t>
      </w:r>
      <w:r>
        <w:rPr>
          <w:i/>
          <w:iCs/>
          <w:color w:val="222222"/>
          <w:shd w:val="clear" w:color="auto" w:fill="FFFFFF"/>
        </w:rPr>
        <w:t>34</w:t>
      </w:r>
      <w:r>
        <w:rPr>
          <w:color w:val="222222"/>
          <w:shd w:val="clear" w:color="auto" w:fill="FFFFFF"/>
        </w:rPr>
        <w:t>(7), 769-789.</w:t>
      </w:r>
    </w:p>
    <w:p w14:paraId="054DB037" w14:textId="77777777" w:rsidR="007A16BF" w:rsidRPr="003C7EB3" w:rsidRDefault="007A16BF" w:rsidP="007A16BF">
      <w:pPr>
        <w:spacing w:line="480" w:lineRule="auto"/>
        <w:ind w:left="720" w:hanging="720"/>
      </w:pPr>
      <w:r w:rsidRPr="003C7EB3">
        <w:rPr>
          <w:color w:val="222222"/>
          <w:shd w:val="clear" w:color="auto" w:fill="FFFFFF"/>
        </w:rPr>
        <w:t xml:space="preserve">Copelovitch, M., Frieden, J., &amp; Walter, S. (2016). The political economy of the euro crisis. </w:t>
      </w:r>
      <w:r w:rsidRPr="003C7EB3">
        <w:rPr>
          <w:i/>
          <w:iCs/>
          <w:color w:val="222222"/>
          <w:shd w:val="clear" w:color="auto" w:fill="FFFFFF"/>
        </w:rPr>
        <w:t>Comparative political studies</w:t>
      </w:r>
      <w:r w:rsidRPr="003C7EB3">
        <w:rPr>
          <w:color w:val="222222"/>
          <w:shd w:val="clear" w:color="auto" w:fill="FFFFFF"/>
        </w:rPr>
        <w:t xml:space="preserve">, </w:t>
      </w:r>
      <w:r w:rsidRPr="003C7EB3">
        <w:rPr>
          <w:i/>
          <w:iCs/>
          <w:color w:val="222222"/>
          <w:shd w:val="clear" w:color="auto" w:fill="FFFFFF"/>
        </w:rPr>
        <w:t>49</w:t>
      </w:r>
      <w:r w:rsidRPr="003C7EB3">
        <w:rPr>
          <w:color w:val="222222"/>
          <w:shd w:val="clear" w:color="auto" w:fill="FFFFFF"/>
        </w:rPr>
        <w:t>(7), 811-840.</w:t>
      </w:r>
    </w:p>
    <w:p w14:paraId="106DEBF3" w14:textId="77777777" w:rsidR="007A16BF" w:rsidRPr="003C7EB3" w:rsidRDefault="007A16BF" w:rsidP="007A16BF">
      <w:pPr>
        <w:spacing w:line="480" w:lineRule="auto"/>
        <w:ind w:left="720" w:hanging="720"/>
      </w:pPr>
      <w:r w:rsidRPr="003C7EB3">
        <w:rPr>
          <w:color w:val="222222"/>
          <w:shd w:val="clear" w:color="auto" w:fill="FFFFFF"/>
        </w:rPr>
        <w:t xml:space="preserve">Dawson, M. (2015). The legal and political accountability structure of ‘post‐crisis’ EU economic governance. </w:t>
      </w:r>
      <w:r w:rsidRPr="003C7EB3">
        <w:rPr>
          <w:i/>
          <w:iCs/>
          <w:color w:val="222222"/>
          <w:shd w:val="clear" w:color="auto" w:fill="FFFFFF"/>
        </w:rPr>
        <w:t>JCMS: Journal of Common Market Studies</w:t>
      </w:r>
      <w:r w:rsidRPr="003C7EB3">
        <w:rPr>
          <w:color w:val="222222"/>
          <w:shd w:val="clear" w:color="auto" w:fill="FFFFFF"/>
        </w:rPr>
        <w:t xml:space="preserve">, </w:t>
      </w:r>
      <w:r w:rsidRPr="003C7EB3">
        <w:rPr>
          <w:i/>
          <w:iCs/>
          <w:color w:val="222222"/>
          <w:shd w:val="clear" w:color="auto" w:fill="FFFFFF"/>
        </w:rPr>
        <w:t>53</w:t>
      </w:r>
      <w:r w:rsidRPr="003C7EB3">
        <w:rPr>
          <w:color w:val="222222"/>
          <w:shd w:val="clear" w:color="auto" w:fill="FFFFFF"/>
        </w:rPr>
        <w:t>(5), 976-993.</w:t>
      </w:r>
    </w:p>
    <w:p w14:paraId="64018511" w14:textId="77777777" w:rsidR="007A16BF" w:rsidRPr="003C7EB3" w:rsidRDefault="007A16BF" w:rsidP="007A16BF">
      <w:pPr>
        <w:spacing w:line="480" w:lineRule="auto"/>
        <w:ind w:left="720" w:hanging="720"/>
      </w:pPr>
      <w:r w:rsidRPr="003C7EB3">
        <w:rPr>
          <w:color w:val="222222"/>
          <w:shd w:val="clear" w:color="auto" w:fill="FFFFFF"/>
        </w:rPr>
        <w:t xml:space="preserve">Eichengreen, B. (2011). The euro's never-ending crisis. </w:t>
      </w:r>
      <w:r w:rsidRPr="003C7EB3">
        <w:rPr>
          <w:i/>
          <w:iCs/>
          <w:color w:val="222222"/>
          <w:shd w:val="clear" w:color="auto" w:fill="FFFFFF"/>
        </w:rPr>
        <w:t>Current History</w:t>
      </w:r>
      <w:r w:rsidRPr="003C7EB3">
        <w:rPr>
          <w:color w:val="222222"/>
          <w:shd w:val="clear" w:color="auto" w:fill="FFFFFF"/>
        </w:rPr>
        <w:t xml:space="preserve">, </w:t>
      </w:r>
      <w:r w:rsidRPr="003C7EB3">
        <w:rPr>
          <w:i/>
          <w:iCs/>
          <w:color w:val="222222"/>
          <w:shd w:val="clear" w:color="auto" w:fill="FFFFFF"/>
        </w:rPr>
        <w:t>110</w:t>
      </w:r>
      <w:r w:rsidRPr="003C7EB3">
        <w:rPr>
          <w:color w:val="222222"/>
          <w:shd w:val="clear" w:color="auto" w:fill="FFFFFF"/>
        </w:rPr>
        <w:t>(734), 91-96.</w:t>
      </w:r>
    </w:p>
    <w:p w14:paraId="4A0CA22A" w14:textId="1F38E60C" w:rsidR="007A16BF" w:rsidRPr="007A16BF" w:rsidRDefault="007A16BF" w:rsidP="007A16BF">
      <w:pPr>
        <w:spacing w:line="480" w:lineRule="auto"/>
        <w:ind w:left="720" w:hanging="720"/>
      </w:pPr>
      <w:r w:rsidRPr="003C7EB3">
        <w:rPr>
          <w:color w:val="222222"/>
          <w:shd w:val="clear" w:color="auto" w:fill="FFFFFF"/>
        </w:rPr>
        <w:t>F</w:t>
      </w:r>
      <w:r>
        <w:rPr>
          <w:color w:val="222222"/>
          <w:shd w:val="clear" w:color="auto" w:fill="FFFFFF"/>
        </w:rPr>
        <w:t>erenc, K</w:t>
      </w:r>
      <w:r w:rsidRPr="003C7EB3">
        <w:rPr>
          <w:color w:val="222222"/>
          <w:shd w:val="clear" w:color="auto" w:fill="FFFFFF"/>
        </w:rPr>
        <w:t xml:space="preserve">. (2022). </w:t>
      </w:r>
      <w:r w:rsidRPr="003C7EB3">
        <w:rPr>
          <w:i/>
          <w:iCs/>
          <w:color w:val="222222"/>
          <w:shd w:val="clear" w:color="auto" w:fill="FFFFFF"/>
        </w:rPr>
        <w:t>Eurozone Crisis Management in Neofunctionalist Approach</w:t>
      </w:r>
      <w:r w:rsidRPr="003C7EB3">
        <w:rPr>
          <w:color w:val="222222"/>
          <w:shd w:val="clear" w:color="auto" w:fill="FFFFFF"/>
        </w:rPr>
        <w:t xml:space="preserve"> (Doctoral dissertation, Budapesti Corvinus Egyetem).</w:t>
      </w:r>
    </w:p>
    <w:p w14:paraId="295ADB6F" w14:textId="4CE6B723" w:rsidR="007A16BF" w:rsidRPr="003C7EB3" w:rsidRDefault="007A16BF" w:rsidP="007A16BF">
      <w:pPr>
        <w:spacing w:line="480" w:lineRule="auto"/>
        <w:ind w:left="720" w:hanging="720"/>
      </w:pPr>
      <w:r w:rsidRPr="003C7EB3">
        <w:rPr>
          <w:color w:val="222222"/>
          <w:shd w:val="clear" w:color="auto" w:fill="FFFFFF"/>
        </w:rPr>
        <w:t xml:space="preserve">Frieden, J., &amp; Walter, S. (2017). Understanding the political economy of the Eurozone crisis. </w:t>
      </w:r>
      <w:r w:rsidRPr="003C7EB3">
        <w:rPr>
          <w:i/>
          <w:iCs/>
          <w:color w:val="222222"/>
          <w:shd w:val="clear" w:color="auto" w:fill="FFFFFF"/>
        </w:rPr>
        <w:t>Annual review of political science</w:t>
      </w:r>
      <w:r w:rsidRPr="003C7EB3">
        <w:rPr>
          <w:color w:val="222222"/>
          <w:shd w:val="clear" w:color="auto" w:fill="FFFFFF"/>
        </w:rPr>
        <w:t xml:space="preserve">, </w:t>
      </w:r>
      <w:r w:rsidRPr="003C7EB3">
        <w:rPr>
          <w:i/>
          <w:iCs/>
          <w:color w:val="222222"/>
          <w:shd w:val="clear" w:color="auto" w:fill="FFFFFF"/>
        </w:rPr>
        <w:t>20</w:t>
      </w:r>
      <w:r w:rsidRPr="003C7EB3">
        <w:rPr>
          <w:color w:val="222222"/>
          <w:shd w:val="clear" w:color="auto" w:fill="FFFFFF"/>
        </w:rPr>
        <w:t>, 371-390.</w:t>
      </w:r>
    </w:p>
    <w:p w14:paraId="1DA0E746" w14:textId="77777777" w:rsidR="007A16BF" w:rsidRPr="003C7EB3" w:rsidRDefault="007A16BF" w:rsidP="007A16BF">
      <w:pPr>
        <w:spacing w:line="480" w:lineRule="auto"/>
        <w:ind w:left="720" w:hanging="720"/>
      </w:pPr>
      <w:r w:rsidRPr="003C7EB3">
        <w:rPr>
          <w:color w:val="222222"/>
          <w:shd w:val="clear" w:color="auto" w:fill="FFFFFF"/>
        </w:rPr>
        <w:t xml:space="preserve">Hall, P. A., &amp; Franzese, R. J. (1998). Mixed signals: central bank independence, coordinated wage bargaining, and European Monetary Union. </w:t>
      </w:r>
      <w:r w:rsidRPr="003C7EB3">
        <w:rPr>
          <w:i/>
          <w:iCs/>
          <w:color w:val="222222"/>
          <w:shd w:val="clear" w:color="auto" w:fill="FFFFFF"/>
        </w:rPr>
        <w:t>International organization</w:t>
      </w:r>
      <w:r w:rsidRPr="003C7EB3">
        <w:rPr>
          <w:color w:val="222222"/>
          <w:shd w:val="clear" w:color="auto" w:fill="FFFFFF"/>
        </w:rPr>
        <w:t xml:space="preserve">, </w:t>
      </w:r>
      <w:r w:rsidRPr="003C7EB3">
        <w:rPr>
          <w:i/>
          <w:iCs/>
          <w:color w:val="222222"/>
          <w:shd w:val="clear" w:color="auto" w:fill="FFFFFF"/>
        </w:rPr>
        <w:t>52</w:t>
      </w:r>
      <w:r w:rsidRPr="003C7EB3">
        <w:rPr>
          <w:color w:val="222222"/>
          <w:shd w:val="clear" w:color="auto" w:fill="FFFFFF"/>
        </w:rPr>
        <w:t>(3), 505-535.</w:t>
      </w:r>
    </w:p>
    <w:p w14:paraId="40D539E1" w14:textId="77777777" w:rsidR="007A16BF" w:rsidRPr="003C7EB3" w:rsidRDefault="007A16BF" w:rsidP="007A16BF">
      <w:pPr>
        <w:spacing w:line="480" w:lineRule="auto"/>
        <w:ind w:left="720" w:hanging="720"/>
      </w:pPr>
      <w:r w:rsidRPr="003C7EB3">
        <w:rPr>
          <w:color w:val="222222"/>
          <w:shd w:val="clear" w:color="auto" w:fill="FFFFFF"/>
        </w:rPr>
        <w:lastRenderedPageBreak/>
        <w:t xml:space="preserve">Höing, O., &amp; Kunstein, T. (2019). Political science and the eurozone crisis. A review of scientific journal articles 2004–15. </w:t>
      </w:r>
      <w:r w:rsidRPr="003C7EB3">
        <w:rPr>
          <w:i/>
          <w:iCs/>
          <w:color w:val="222222"/>
          <w:shd w:val="clear" w:color="auto" w:fill="FFFFFF"/>
        </w:rPr>
        <w:t>JCMS: Journal of Common Market Studies</w:t>
      </w:r>
      <w:r w:rsidRPr="003C7EB3">
        <w:rPr>
          <w:color w:val="222222"/>
          <w:shd w:val="clear" w:color="auto" w:fill="FFFFFF"/>
        </w:rPr>
        <w:t xml:space="preserve">, </w:t>
      </w:r>
      <w:r w:rsidRPr="003C7EB3">
        <w:rPr>
          <w:i/>
          <w:iCs/>
          <w:color w:val="222222"/>
          <w:shd w:val="clear" w:color="auto" w:fill="FFFFFF"/>
        </w:rPr>
        <w:t>57</w:t>
      </w:r>
      <w:r w:rsidRPr="003C7EB3">
        <w:rPr>
          <w:color w:val="222222"/>
          <w:shd w:val="clear" w:color="auto" w:fill="FFFFFF"/>
        </w:rPr>
        <w:t>(2), 298-316.</w:t>
      </w:r>
    </w:p>
    <w:p w14:paraId="3ADF324C" w14:textId="77777777" w:rsidR="007A16BF" w:rsidRPr="003C7EB3" w:rsidRDefault="007A16BF" w:rsidP="007A16BF">
      <w:pPr>
        <w:spacing w:line="480" w:lineRule="auto"/>
        <w:ind w:left="720" w:hanging="720"/>
      </w:pPr>
      <w:r w:rsidRPr="003C7EB3">
        <w:rPr>
          <w:color w:val="222222"/>
          <w:shd w:val="clear" w:color="auto" w:fill="FFFFFF"/>
        </w:rPr>
        <w:t xml:space="preserve">Niemann, A. (2021). Neofunctionalism. </w:t>
      </w:r>
      <w:r w:rsidRPr="003C7EB3">
        <w:rPr>
          <w:i/>
          <w:iCs/>
          <w:color w:val="222222"/>
          <w:shd w:val="clear" w:color="auto" w:fill="FFFFFF"/>
        </w:rPr>
        <w:t>The Palgrave handbook of EU crises</w:t>
      </w:r>
      <w:r w:rsidRPr="003C7EB3">
        <w:rPr>
          <w:color w:val="222222"/>
          <w:shd w:val="clear" w:color="auto" w:fill="FFFFFF"/>
        </w:rPr>
        <w:t>, 115-133.</w:t>
      </w:r>
    </w:p>
    <w:p w14:paraId="1F99583E" w14:textId="77777777" w:rsidR="007A16BF" w:rsidRPr="003C7EB3" w:rsidRDefault="007A16BF" w:rsidP="007A16BF">
      <w:pPr>
        <w:spacing w:line="480" w:lineRule="auto"/>
        <w:ind w:left="720" w:hanging="720"/>
      </w:pPr>
      <w:r w:rsidRPr="003C7EB3">
        <w:rPr>
          <w:color w:val="222222"/>
          <w:shd w:val="clear" w:color="auto" w:fill="FFFFFF"/>
        </w:rPr>
        <w:t xml:space="preserve">Niemann, A., &amp; Ioannou, D. (2015). European economic integration in times of crisis: a case of neofunctionalism?. </w:t>
      </w:r>
      <w:r w:rsidRPr="003C7EB3">
        <w:rPr>
          <w:i/>
          <w:iCs/>
          <w:color w:val="222222"/>
          <w:shd w:val="clear" w:color="auto" w:fill="FFFFFF"/>
        </w:rPr>
        <w:t>Journal of European Public Policy</w:t>
      </w:r>
      <w:r w:rsidRPr="003C7EB3">
        <w:rPr>
          <w:color w:val="222222"/>
          <w:shd w:val="clear" w:color="auto" w:fill="FFFFFF"/>
        </w:rPr>
        <w:t xml:space="preserve">, </w:t>
      </w:r>
      <w:r w:rsidRPr="003C7EB3">
        <w:rPr>
          <w:i/>
          <w:iCs/>
          <w:color w:val="222222"/>
          <w:shd w:val="clear" w:color="auto" w:fill="FFFFFF"/>
        </w:rPr>
        <w:t>22</w:t>
      </w:r>
      <w:r w:rsidRPr="003C7EB3">
        <w:rPr>
          <w:color w:val="222222"/>
          <w:shd w:val="clear" w:color="auto" w:fill="FFFFFF"/>
        </w:rPr>
        <w:t>(2), 196-218.</w:t>
      </w:r>
    </w:p>
    <w:p w14:paraId="58DAF2B3" w14:textId="77777777" w:rsidR="007A16BF" w:rsidRPr="003C7EB3" w:rsidRDefault="007A16BF" w:rsidP="007A16BF">
      <w:pPr>
        <w:spacing w:line="480" w:lineRule="auto"/>
        <w:ind w:left="720" w:hanging="720"/>
      </w:pPr>
      <w:r w:rsidRPr="003C7EB3">
        <w:rPr>
          <w:color w:val="222222"/>
          <w:shd w:val="clear" w:color="auto" w:fill="FFFFFF"/>
        </w:rPr>
        <w:t xml:space="preserve">Pierson, P. (1996). The path to European integration: A historical institutionalist analysis. </w:t>
      </w:r>
      <w:r w:rsidRPr="003C7EB3">
        <w:rPr>
          <w:i/>
          <w:iCs/>
          <w:color w:val="222222"/>
          <w:shd w:val="clear" w:color="auto" w:fill="FFFFFF"/>
        </w:rPr>
        <w:t>Comparative political studies</w:t>
      </w:r>
      <w:r w:rsidRPr="003C7EB3">
        <w:rPr>
          <w:color w:val="222222"/>
          <w:shd w:val="clear" w:color="auto" w:fill="FFFFFF"/>
        </w:rPr>
        <w:t xml:space="preserve">, </w:t>
      </w:r>
      <w:r w:rsidRPr="003C7EB3">
        <w:rPr>
          <w:i/>
          <w:iCs/>
          <w:color w:val="222222"/>
          <w:shd w:val="clear" w:color="auto" w:fill="FFFFFF"/>
        </w:rPr>
        <w:t>29</w:t>
      </w:r>
      <w:r w:rsidRPr="003C7EB3">
        <w:rPr>
          <w:color w:val="222222"/>
          <w:shd w:val="clear" w:color="auto" w:fill="FFFFFF"/>
        </w:rPr>
        <w:t>(2), 123-163.</w:t>
      </w:r>
    </w:p>
    <w:p w14:paraId="629DB55C" w14:textId="77777777" w:rsidR="007A16BF" w:rsidRPr="003C7EB3" w:rsidRDefault="007A16BF" w:rsidP="007A16BF">
      <w:pPr>
        <w:spacing w:line="480" w:lineRule="auto"/>
        <w:ind w:left="720" w:hanging="720"/>
      </w:pPr>
      <w:r w:rsidRPr="003C7EB3">
        <w:rPr>
          <w:color w:val="222222"/>
          <w:shd w:val="clear" w:color="auto" w:fill="FFFFFF"/>
        </w:rPr>
        <w:t xml:space="preserve">Schimmelfennig, F. (2018). European integration (theory) in times of crisis. A comparison of the euro and Schengen crises. </w:t>
      </w:r>
      <w:r w:rsidRPr="003C7EB3">
        <w:rPr>
          <w:i/>
          <w:iCs/>
          <w:color w:val="222222"/>
          <w:shd w:val="clear" w:color="auto" w:fill="FFFFFF"/>
        </w:rPr>
        <w:t>Journal of European Public Policy</w:t>
      </w:r>
      <w:r w:rsidRPr="003C7EB3">
        <w:rPr>
          <w:color w:val="222222"/>
          <w:shd w:val="clear" w:color="auto" w:fill="FFFFFF"/>
        </w:rPr>
        <w:t xml:space="preserve">, </w:t>
      </w:r>
      <w:r w:rsidRPr="003C7EB3">
        <w:rPr>
          <w:i/>
          <w:iCs/>
          <w:color w:val="222222"/>
          <w:shd w:val="clear" w:color="auto" w:fill="FFFFFF"/>
        </w:rPr>
        <w:t>25</w:t>
      </w:r>
      <w:r w:rsidRPr="003C7EB3">
        <w:rPr>
          <w:color w:val="222222"/>
          <w:shd w:val="clear" w:color="auto" w:fill="FFFFFF"/>
        </w:rPr>
        <w:t>(7), 969-989.</w:t>
      </w:r>
    </w:p>
    <w:p w14:paraId="57437FAF" w14:textId="77777777" w:rsidR="007A16BF" w:rsidRPr="003C7EB3" w:rsidRDefault="007A16BF" w:rsidP="007A16BF">
      <w:pPr>
        <w:spacing w:line="480" w:lineRule="auto"/>
        <w:ind w:left="720" w:hanging="720"/>
      </w:pPr>
      <w:r w:rsidRPr="003C7EB3">
        <w:rPr>
          <w:color w:val="222222"/>
          <w:shd w:val="clear" w:color="auto" w:fill="FFFFFF"/>
        </w:rPr>
        <w:t xml:space="preserve">Schimmelfennig, F. (2018). Liberal intergovernmentalism and the crises of the European Union. </w:t>
      </w:r>
      <w:r w:rsidRPr="003C7EB3">
        <w:rPr>
          <w:i/>
          <w:iCs/>
          <w:color w:val="222222"/>
          <w:shd w:val="clear" w:color="auto" w:fill="FFFFFF"/>
        </w:rPr>
        <w:t>JCMS: Journal of Common Market Studies</w:t>
      </w:r>
      <w:r w:rsidRPr="003C7EB3">
        <w:rPr>
          <w:color w:val="222222"/>
          <w:shd w:val="clear" w:color="auto" w:fill="FFFFFF"/>
        </w:rPr>
        <w:t xml:space="preserve">, </w:t>
      </w:r>
      <w:r w:rsidRPr="003C7EB3">
        <w:rPr>
          <w:i/>
          <w:iCs/>
          <w:color w:val="222222"/>
          <w:shd w:val="clear" w:color="auto" w:fill="FFFFFF"/>
        </w:rPr>
        <w:t>56</w:t>
      </w:r>
      <w:r w:rsidRPr="003C7EB3">
        <w:rPr>
          <w:color w:val="222222"/>
          <w:shd w:val="clear" w:color="auto" w:fill="FFFFFF"/>
        </w:rPr>
        <w:t>(7), 1578-1594.</w:t>
      </w:r>
    </w:p>
    <w:p w14:paraId="538640AD" w14:textId="77777777" w:rsidR="007A16BF" w:rsidRPr="003C7EB3" w:rsidRDefault="007A16BF" w:rsidP="007A16BF">
      <w:pPr>
        <w:spacing w:line="480" w:lineRule="auto"/>
        <w:ind w:left="720" w:hanging="720"/>
      </w:pPr>
      <w:r w:rsidRPr="003C7EB3">
        <w:rPr>
          <w:color w:val="222222"/>
          <w:shd w:val="clear" w:color="auto" w:fill="FFFFFF"/>
        </w:rPr>
        <w:t xml:space="preserve">Vilpišauskas, R. (2013). Eurozone crisis and European integration: Functional spillover, political spillback?. </w:t>
      </w:r>
      <w:r w:rsidRPr="003C7EB3">
        <w:rPr>
          <w:i/>
          <w:iCs/>
          <w:color w:val="222222"/>
          <w:shd w:val="clear" w:color="auto" w:fill="FFFFFF"/>
        </w:rPr>
        <w:t>Journal of European Integration</w:t>
      </w:r>
      <w:r w:rsidRPr="003C7EB3">
        <w:rPr>
          <w:color w:val="222222"/>
          <w:shd w:val="clear" w:color="auto" w:fill="FFFFFF"/>
        </w:rPr>
        <w:t xml:space="preserve">, </w:t>
      </w:r>
      <w:r w:rsidRPr="003C7EB3">
        <w:rPr>
          <w:i/>
          <w:iCs/>
          <w:color w:val="222222"/>
          <w:shd w:val="clear" w:color="auto" w:fill="FFFFFF"/>
        </w:rPr>
        <w:t>35</w:t>
      </w:r>
      <w:r w:rsidRPr="003C7EB3">
        <w:rPr>
          <w:color w:val="222222"/>
          <w:shd w:val="clear" w:color="auto" w:fill="FFFFFF"/>
        </w:rPr>
        <w:t>(3), 361-373.</w:t>
      </w:r>
    </w:p>
    <w:p w14:paraId="54879245" w14:textId="649C380B" w:rsidR="007A16BF" w:rsidRPr="007A16BF" w:rsidRDefault="007A16BF" w:rsidP="007A16BF">
      <w:pPr>
        <w:spacing w:line="480" w:lineRule="auto"/>
        <w:jc w:val="center"/>
      </w:pPr>
    </w:p>
    <w:sectPr w:rsidR="007A16BF" w:rsidRPr="007A16BF">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14A56" w14:textId="77777777" w:rsidR="006E25A5" w:rsidRDefault="006E25A5" w:rsidP="00934167">
      <w:r>
        <w:separator/>
      </w:r>
    </w:p>
  </w:endnote>
  <w:endnote w:type="continuationSeparator" w:id="0">
    <w:p w14:paraId="14F6A9B2" w14:textId="77777777" w:rsidR="006E25A5" w:rsidRDefault="006E25A5" w:rsidP="00934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EC2B1" w14:textId="77777777" w:rsidR="006E25A5" w:rsidRDefault="006E25A5" w:rsidP="00934167">
      <w:r>
        <w:separator/>
      </w:r>
    </w:p>
  </w:footnote>
  <w:footnote w:type="continuationSeparator" w:id="0">
    <w:p w14:paraId="67AE4ACF" w14:textId="77777777" w:rsidR="006E25A5" w:rsidRDefault="006E25A5" w:rsidP="00934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48167090"/>
      <w:docPartObj>
        <w:docPartGallery w:val="Page Numbers (Top of Page)"/>
        <w:docPartUnique/>
      </w:docPartObj>
    </w:sdtPr>
    <w:sdtContent>
      <w:p w14:paraId="2C9421B4" w14:textId="593A6AC4" w:rsidR="00934167" w:rsidRDefault="00934167" w:rsidP="002B17A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73382173"/>
      <w:docPartObj>
        <w:docPartGallery w:val="Page Numbers (Top of Page)"/>
        <w:docPartUnique/>
      </w:docPartObj>
    </w:sdtPr>
    <w:sdtContent>
      <w:p w14:paraId="0243B8FA" w14:textId="7D0F6997" w:rsidR="00934167" w:rsidRDefault="00934167" w:rsidP="00934167">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F72626" w14:textId="77777777" w:rsidR="00934167" w:rsidRDefault="00934167" w:rsidP="0093416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1430187827"/>
      <w:docPartObj>
        <w:docPartGallery w:val="Page Numbers (Top of Page)"/>
        <w:docPartUnique/>
      </w:docPartObj>
    </w:sdtPr>
    <w:sdtContent>
      <w:p w14:paraId="68CFFE2B" w14:textId="1ABA9920" w:rsidR="00934167" w:rsidRPr="00934167" w:rsidRDefault="00934167" w:rsidP="002B17A1">
        <w:pPr>
          <w:pStyle w:val="Header"/>
          <w:framePr w:wrap="none" w:vAnchor="text" w:hAnchor="margin" w:xAlign="right" w:y="1"/>
          <w:rPr>
            <w:rStyle w:val="PageNumber"/>
            <w:rFonts w:ascii="Times New Roman" w:hAnsi="Times New Roman" w:cs="Times New Roman"/>
          </w:rPr>
        </w:pPr>
        <w:r w:rsidRPr="00934167">
          <w:rPr>
            <w:rStyle w:val="PageNumber"/>
            <w:rFonts w:ascii="Times New Roman" w:hAnsi="Times New Roman" w:cs="Times New Roman"/>
          </w:rPr>
          <w:t xml:space="preserve">Page </w:t>
        </w:r>
        <w:r w:rsidRPr="00934167">
          <w:rPr>
            <w:rStyle w:val="PageNumber"/>
            <w:rFonts w:ascii="Times New Roman" w:hAnsi="Times New Roman" w:cs="Times New Roman"/>
          </w:rPr>
          <w:fldChar w:fldCharType="begin"/>
        </w:r>
        <w:r w:rsidRPr="00934167">
          <w:rPr>
            <w:rStyle w:val="PageNumber"/>
            <w:rFonts w:ascii="Times New Roman" w:hAnsi="Times New Roman" w:cs="Times New Roman"/>
          </w:rPr>
          <w:instrText xml:space="preserve"> PAGE </w:instrText>
        </w:r>
        <w:r w:rsidRPr="00934167">
          <w:rPr>
            <w:rStyle w:val="PageNumber"/>
            <w:rFonts w:ascii="Times New Roman" w:hAnsi="Times New Roman" w:cs="Times New Roman"/>
          </w:rPr>
          <w:fldChar w:fldCharType="separate"/>
        </w:r>
        <w:r w:rsidRPr="00934167">
          <w:rPr>
            <w:rStyle w:val="PageNumber"/>
            <w:rFonts w:ascii="Times New Roman" w:hAnsi="Times New Roman" w:cs="Times New Roman"/>
            <w:noProof/>
          </w:rPr>
          <w:t>1</w:t>
        </w:r>
        <w:r w:rsidRPr="00934167">
          <w:rPr>
            <w:rStyle w:val="PageNumber"/>
            <w:rFonts w:ascii="Times New Roman" w:hAnsi="Times New Roman" w:cs="Times New Roman"/>
          </w:rPr>
          <w:fldChar w:fldCharType="end"/>
        </w:r>
      </w:p>
    </w:sdtContent>
  </w:sdt>
  <w:p w14:paraId="3AB124E6" w14:textId="00A9E545" w:rsidR="00934167" w:rsidRPr="00934167" w:rsidRDefault="00934167" w:rsidP="00934167">
    <w:pPr>
      <w:pStyle w:val="Header"/>
      <w:ind w:right="360"/>
      <w:jc w:val="right"/>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167"/>
    <w:rsid w:val="00221531"/>
    <w:rsid w:val="003303F9"/>
    <w:rsid w:val="0039572D"/>
    <w:rsid w:val="003C4394"/>
    <w:rsid w:val="004741E8"/>
    <w:rsid w:val="004B0D79"/>
    <w:rsid w:val="004E6437"/>
    <w:rsid w:val="005465D7"/>
    <w:rsid w:val="0064262F"/>
    <w:rsid w:val="006527FB"/>
    <w:rsid w:val="006E25A5"/>
    <w:rsid w:val="00783AA4"/>
    <w:rsid w:val="007A16BF"/>
    <w:rsid w:val="008747AA"/>
    <w:rsid w:val="00883A28"/>
    <w:rsid w:val="00934167"/>
    <w:rsid w:val="00975ADD"/>
    <w:rsid w:val="00A301CD"/>
    <w:rsid w:val="00B66EC0"/>
    <w:rsid w:val="00B76B53"/>
    <w:rsid w:val="00B84A31"/>
    <w:rsid w:val="00BD176A"/>
    <w:rsid w:val="00C075D3"/>
    <w:rsid w:val="00C8432E"/>
    <w:rsid w:val="00CA0DF1"/>
    <w:rsid w:val="00CC1C30"/>
    <w:rsid w:val="00D87E67"/>
    <w:rsid w:val="00DF00E0"/>
    <w:rsid w:val="00E35610"/>
    <w:rsid w:val="00F636F8"/>
    <w:rsid w:val="00FB7359"/>
    <w:rsid w:val="00FE0BC7"/>
    <w:rsid w:val="00FF3B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3906B06"/>
  <w15:chartTrackingRefBased/>
  <w15:docId w15:val="{994FA8F9-4EC9-1647-A342-17BE0CE70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C30"/>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4167"/>
    <w:pPr>
      <w:spacing w:before="100" w:beforeAutospacing="1" w:after="100" w:afterAutospacing="1"/>
    </w:pPr>
  </w:style>
  <w:style w:type="paragraph" w:styleId="Header">
    <w:name w:val="header"/>
    <w:basedOn w:val="Normal"/>
    <w:link w:val="HeaderChar"/>
    <w:uiPriority w:val="99"/>
    <w:unhideWhenUsed/>
    <w:rsid w:val="00934167"/>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rsid w:val="00934167"/>
  </w:style>
  <w:style w:type="paragraph" w:styleId="Footer">
    <w:name w:val="footer"/>
    <w:basedOn w:val="Normal"/>
    <w:link w:val="FooterChar"/>
    <w:uiPriority w:val="99"/>
    <w:unhideWhenUsed/>
    <w:rsid w:val="00934167"/>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FooterChar">
    <w:name w:val="Footer Char"/>
    <w:basedOn w:val="DefaultParagraphFont"/>
    <w:link w:val="Footer"/>
    <w:uiPriority w:val="99"/>
    <w:rsid w:val="00934167"/>
  </w:style>
  <w:style w:type="character" w:styleId="PageNumber">
    <w:name w:val="page number"/>
    <w:basedOn w:val="DefaultParagraphFont"/>
    <w:uiPriority w:val="99"/>
    <w:semiHidden/>
    <w:unhideWhenUsed/>
    <w:rsid w:val="00934167"/>
  </w:style>
  <w:style w:type="paragraph" w:styleId="FootnoteText">
    <w:name w:val="footnote text"/>
    <w:basedOn w:val="Normal"/>
    <w:link w:val="FootnoteTextChar"/>
    <w:uiPriority w:val="99"/>
    <w:semiHidden/>
    <w:unhideWhenUsed/>
    <w:rsid w:val="00934167"/>
    <w:rPr>
      <w:rFonts w:asciiTheme="minorHAnsi" w:eastAsiaTheme="minorEastAsia"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934167"/>
    <w:rPr>
      <w:sz w:val="20"/>
      <w:szCs w:val="20"/>
    </w:rPr>
  </w:style>
  <w:style w:type="character" w:styleId="FootnoteReference">
    <w:name w:val="footnote reference"/>
    <w:basedOn w:val="DefaultParagraphFont"/>
    <w:uiPriority w:val="99"/>
    <w:semiHidden/>
    <w:unhideWhenUsed/>
    <w:rsid w:val="009341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56999">
      <w:bodyDiv w:val="1"/>
      <w:marLeft w:val="0"/>
      <w:marRight w:val="0"/>
      <w:marTop w:val="0"/>
      <w:marBottom w:val="0"/>
      <w:divBdr>
        <w:top w:val="none" w:sz="0" w:space="0" w:color="auto"/>
        <w:left w:val="none" w:sz="0" w:space="0" w:color="auto"/>
        <w:bottom w:val="none" w:sz="0" w:space="0" w:color="auto"/>
        <w:right w:val="none" w:sz="0" w:space="0" w:color="auto"/>
      </w:divBdr>
    </w:div>
    <w:div w:id="891965719">
      <w:bodyDiv w:val="1"/>
      <w:marLeft w:val="0"/>
      <w:marRight w:val="0"/>
      <w:marTop w:val="0"/>
      <w:marBottom w:val="0"/>
      <w:divBdr>
        <w:top w:val="none" w:sz="0" w:space="0" w:color="auto"/>
        <w:left w:val="none" w:sz="0" w:space="0" w:color="auto"/>
        <w:bottom w:val="none" w:sz="0" w:space="0" w:color="auto"/>
        <w:right w:val="none" w:sz="0" w:space="0" w:color="auto"/>
      </w:divBdr>
    </w:div>
    <w:div w:id="1060640656">
      <w:bodyDiv w:val="1"/>
      <w:marLeft w:val="0"/>
      <w:marRight w:val="0"/>
      <w:marTop w:val="0"/>
      <w:marBottom w:val="0"/>
      <w:divBdr>
        <w:top w:val="none" w:sz="0" w:space="0" w:color="auto"/>
        <w:left w:val="none" w:sz="0" w:space="0" w:color="auto"/>
        <w:bottom w:val="none" w:sz="0" w:space="0" w:color="auto"/>
        <w:right w:val="none" w:sz="0" w:space="0" w:color="auto"/>
      </w:divBdr>
    </w:div>
    <w:div w:id="1105997108">
      <w:bodyDiv w:val="1"/>
      <w:marLeft w:val="0"/>
      <w:marRight w:val="0"/>
      <w:marTop w:val="0"/>
      <w:marBottom w:val="0"/>
      <w:divBdr>
        <w:top w:val="none" w:sz="0" w:space="0" w:color="auto"/>
        <w:left w:val="none" w:sz="0" w:space="0" w:color="auto"/>
        <w:bottom w:val="none" w:sz="0" w:space="0" w:color="auto"/>
        <w:right w:val="none" w:sz="0" w:space="0" w:color="auto"/>
      </w:divBdr>
    </w:div>
    <w:div w:id="1196776625">
      <w:bodyDiv w:val="1"/>
      <w:marLeft w:val="0"/>
      <w:marRight w:val="0"/>
      <w:marTop w:val="0"/>
      <w:marBottom w:val="0"/>
      <w:divBdr>
        <w:top w:val="none" w:sz="0" w:space="0" w:color="auto"/>
        <w:left w:val="none" w:sz="0" w:space="0" w:color="auto"/>
        <w:bottom w:val="none" w:sz="0" w:space="0" w:color="auto"/>
        <w:right w:val="none" w:sz="0" w:space="0" w:color="auto"/>
      </w:divBdr>
    </w:div>
    <w:div w:id="1475291989">
      <w:bodyDiv w:val="1"/>
      <w:marLeft w:val="0"/>
      <w:marRight w:val="0"/>
      <w:marTop w:val="0"/>
      <w:marBottom w:val="0"/>
      <w:divBdr>
        <w:top w:val="none" w:sz="0" w:space="0" w:color="auto"/>
        <w:left w:val="none" w:sz="0" w:space="0" w:color="auto"/>
        <w:bottom w:val="none" w:sz="0" w:space="0" w:color="auto"/>
        <w:right w:val="none" w:sz="0" w:space="0" w:color="auto"/>
      </w:divBdr>
    </w:div>
    <w:div w:id="1546327225">
      <w:bodyDiv w:val="1"/>
      <w:marLeft w:val="0"/>
      <w:marRight w:val="0"/>
      <w:marTop w:val="0"/>
      <w:marBottom w:val="0"/>
      <w:divBdr>
        <w:top w:val="none" w:sz="0" w:space="0" w:color="auto"/>
        <w:left w:val="none" w:sz="0" w:space="0" w:color="auto"/>
        <w:bottom w:val="none" w:sz="0" w:space="0" w:color="auto"/>
        <w:right w:val="none" w:sz="0" w:space="0" w:color="auto"/>
      </w:divBdr>
    </w:div>
    <w:div w:id="195251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795F4-856A-0C4E-8415-104A2D7FA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18</Pages>
  <Words>5078</Words>
  <Characters>28945</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Blanco</dc:creator>
  <cp:keywords/>
  <dc:description/>
  <cp:lastModifiedBy>Stacey Blanco</cp:lastModifiedBy>
  <cp:revision>10</cp:revision>
  <dcterms:created xsi:type="dcterms:W3CDTF">2023-12-02T23:23:00Z</dcterms:created>
  <dcterms:modified xsi:type="dcterms:W3CDTF">2023-12-08T00:39:00Z</dcterms:modified>
</cp:coreProperties>
</file>