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222222"/>
          <w:highlight w:val="white"/>
          <w:rtl w:val="0"/>
        </w:rPr>
        <w:t xml:space="preserve">Since joining the Web3 Foundation in 2019, where she is China community lead and councilor of Polkadot, the investor and entrepreneur Qinwen Wang has dedicated herself to promoting blockchain technologies and their artistic uses. But rather than looking for ways to supplant the physical with the digital, she believes in building bridges between the two worlds. In March 2021, she co-produced “Virtual Niche,” an early in-person exhibition of NFTs that, fortuitously enough, opened at UCCA Labs in Beijing just days after the record-breaking Beeple sale at Christie’s, guaranteeing plenty of global headlines. Her own art collection is an eclectic mix of digital pieces and three-dimensional work.worked with both Chrisitie’s and Sotheby’s with nft education and nft collections sale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