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9B819" w14:textId="77777777" w:rsidR="00AF0680" w:rsidRDefault="00141CAE">
      <w:pPr>
        <w:spacing w:after="100"/>
        <w:jc w:val="center"/>
      </w:pPr>
      <w:r>
        <w:rPr>
          <w:i/>
          <w:iCs/>
          <w:color w:val="595959"/>
          <w:sz w:val="20"/>
          <w:szCs w:val="20"/>
        </w:rPr>
        <w:t>[Logos : Université Paul-Valéry Montpellier 3 — Université de Montpellier — AgroParisTech — SICOVAL]</w:t>
      </w:r>
    </w:p>
    <w:p w14:paraId="62689509" w14:textId="77777777" w:rsidR="00AF0680" w:rsidRDefault="001C74ED" w:rsidP="001C74ED">
      <w:pPr>
        <w:jc w:val="center"/>
      </w:pPr>
      <w:r w:rsidRPr="001C74ED">
        <w:rPr>
          <w:i/>
          <w:iCs/>
          <w:noProof/>
          <w:sz w:val="20"/>
          <w:szCs w:val="20"/>
        </w:rPr>
        <w:drawing>
          <wp:anchor distT="0" distB="0" distL="114300" distR="114300" simplePos="0" relativeHeight="251658240" behindDoc="0" locked="0" layoutInCell="1" allowOverlap="1" wp14:anchorId="0CA4959E" wp14:editId="210C92A9">
            <wp:simplePos x="0" y="0"/>
            <wp:positionH relativeFrom="page">
              <wp:align>center</wp:align>
            </wp:positionH>
            <wp:positionV relativeFrom="paragraph">
              <wp:posOffset>253911</wp:posOffset>
            </wp:positionV>
            <wp:extent cx="6688618" cy="1488558"/>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88618" cy="1488558"/>
                    </a:xfrm>
                    <a:prstGeom prst="rect">
                      <a:avLst/>
                    </a:prstGeom>
                  </pic:spPr>
                </pic:pic>
              </a:graphicData>
            </a:graphic>
          </wp:anchor>
        </w:drawing>
      </w:r>
    </w:p>
    <w:p w14:paraId="612A6125" w14:textId="77777777" w:rsidR="00AF0680" w:rsidRDefault="00AF0680"/>
    <w:p w14:paraId="31DDB158" w14:textId="77777777" w:rsidR="00AF0680" w:rsidRDefault="00141CAE">
      <w:pPr>
        <w:jc w:val="center"/>
      </w:pPr>
      <w:r>
        <w:rPr>
          <w:b/>
          <w:bCs/>
          <w:sz w:val="28"/>
          <w:szCs w:val="28"/>
        </w:rPr>
        <w:t>Master Mention Géomatique</w:t>
      </w:r>
    </w:p>
    <w:p w14:paraId="20E93BD6" w14:textId="77777777" w:rsidR="00AF0680" w:rsidRDefault="00141CAE">
      <w:pPr>
        <w:spacing w:before="200"/>
        <w:jc w:val="center"/>
      </w:pPr>
      <w:r>
        <w:rPr>
          <w:i/>
          <w:iCs/>
        </w:rPr>
        <w:t>Parcours [à préciser]</w:t>
      </w:r>
    </w:p>
    <w:p w14:paraId="2EA9436E" w14:textId="77777777" w:rsidR="00AF0680" w:rsidRDefault="00AF0680"/>
    <w:p w14:paraId="2E8C9FC4" w14:textId="77777777" w:rsidR="00AF0680" w:rsidRDefault="00AF0680"/>
    <w:p w14:paraId="63D9DCA5" w14:textId="77777777" w:rsidR="00AF0680" w:rsidRDefault="00141CAE">
      <w:pPr>
        <w:pBdr>
          <w:bottom w:val="single" w:sz="6" w:space="0" w:color="C0504D"/>
        </w:pBdr>
        <w:spacing w:after="200"/>
        <w:jc w:val="center"/>
      </w:pPr>
      <w:r>
        <w:rPr>
          <w:b/>
          <w:bCs/>
          <w:sz w:val="30"/>
          <w:szCs w:val="30"/>
        </w:rPr>
        <w:t>[Titre du rapport — concis et explicite, ex. : « Conception d'une solution d'analyse spatiale pour le suivi de la consommation foncière et de l'habitat — Application au territoire du Sicoval »]</w:t>
      </w:r>
    </w:p>
    <w:p w14:paraId="37F299DB" w14:textId="77777777" w:rsidR="00AF0680" w:rsidRDefault="00AF0680"/>
    <w:p w14:paraId="71054052" w14:textId="77777777" w:rsidR="00AF0680" w:rsidRDefault="00AF0680"/>
    <w:p w14:paraId="71817ADA" w14:textId="77777777" w:rsidR="00AF0680" w:rsidRDefault="00141CAE">
      <w:pPr>
        <w:jc w:val="center"/>
      </w:pPr>
      <w:r>
        <w:t>Rapport de stage présenté par</w:t>
      </w:r>
    </w:p>
    <w:p w14:paraId="0F530126" w14:textId="77777777" w:rsidR="00AF0680" w:rsidRDefault="00D16119">
      <w:pPr>
        <w:spacing w:before="80" w:after="200"/>
        <w:jc w:val="center"/>
      </w:pPr>
      <w:r>
        <w:rPr>
          <w:b/>
          <w:bCs/>
          <w:sz w:val="24"/>
          <w:szCs w:val="24"/>
        </w:rPr>
        <w:t>Samuel Martin</w:t>
      </w:r>
    </w:p>
    <w:p w14:paraId="7E5FBD55" w14:textId="77777777" w:rsidR="00AF0680" w:rsidRDefault="00AF0680"/>
    <w:p w14:paraId="39EF5E5D" w14:textId="77777777" w:rsidR="00AF0680" w:rsidRDefault="00AF0680"/>
    <w:p w14:paraId="2F03F29F" w14:textId="77777777" w:rsidR="00AF0680" w:rsidRDefault="00141CAE">
      <w:pPr>
        <w:jc w:val="center"/>
      </w:pPr>
      <w:r>
        <w:rPr>
          <w:sz w:val="20"/>
          <w:szCs w:val="20"/>
        </w:rPr>
        <w:t>Stage effectué du [date début] au [</w:t>
      </w:r>
      <w:proofErr w:type="gramStart"/>
      <w:r>
        <w:rPr>
          <w:sz w:val="20"/>
          <w:szCs w:val="20"/>
        </w:rPr>
        <w:t>date fin</w:t>
      </w:r>
      <w:proofErr w:type="gramEnd"/>
      <w:r>
        <w:rPr>
          <w:sz w:val="20"/>
          <w:szCs w:val="20"/>
        </w:rPr>
        <w:t>]</w:t>
      </w:r>
    </w:p>
    <w:p w14:paraId="457F99A0" w14:textId="77777777" w:rsidR="00AF0680" w:rsidRDefault="00141CAE">
      <w:pPr>
        <w:jc w:val="center"/>
      </w:pPr>
      <w:proofErr w:type="gramStart"/>
      <w:r>
        <w:rPr>
          <w:sz w:val="20"/>
          <w:szCs w:val="20"/>
        </w:rPr>
        <w:t>au</w:t>
      </w:r>
      <w:proofErr w:type="gramEnd"/>
      <w:r>
        <w:rPr>
          <w:sz w:val="20"/>
          <w:szCs w:val="20"/>
        </w:rPr>
        <w:t xml:space="preserve"> sein de Sicoval — Direction de l'Aménagement, Service Urbanisme &amp; Habitat</w:t>
      </w:r>
    </w:p>
    <w:p w14:paraId="4B355D20" w14:textId="77777777" w:rsidR="00AF0680" w:rsidRDefault="00AF0680"/>
    <w:p w14:paraId="594271D6" w14:textId="77777777" w:rsidR="00AF0680" w:rsidRDefault="00AF0680"/>
    <w:p w14:paraId="6515F715" w14:textId="77777777" w:rsidR="00AF0680" w:rsidRDefault="00141CAE">
      <w:pPr>
        <w:jc w:val="center"/>
      </w:pPr>
      <w:r>
        <w:rPr>
          <w:sz w:val="20"/>
          <w:szCs w:val="20"/>
        </w:rPr>
        <w:t xml:space="preserve">Soutenu le </w:t>
      </w:r>
      <w:r w:rsidR="00B2262F">
        <w:rPr>
          <w:sz w:val="20"/>
          <w:szCs w:val="20"/>
        </w:rPr>
        <w:t>11 Septembre 2026</w:t>
      </w:r>
    </w:p>
    <w:p w14:paraId="16B4C064" w14:textId="77777777" w:rsidR="00AF0680" w:rsidRDefault="00AF0680"/>
    <w:p w14:paraId="2F45750D" w14:textId="77777777" w:rsidR="00AF0680" w:rsidRDefault="00141CAE">
      <w:pPr>
        <w:jc w:val="center"/>
      </w:pPr>
      <w:r>
        <w:rPr>
          <w:b/>
          <w:bCs/>
          <w:sz w:val="20"/>
          <w:szCs w:val="20"/>
        </w:rPr>
        <w:t>Devant le jury composé de :</w:t>
      </w:r>
    </w:p>
    <w:p w14:paraId="16A83A75" w14:textId="77777777" w:rsidR="00AF0680" w:rsidRDefault="00141CAE">
      <w:pPr>
        <w:jc w:val="center"/>
      </w:pPr>
      <w:r>
        <w:rPr>
          <w:sz w:val="20"/>
          <w:szCs w:val="20"/>
        </w:rPr>
        <w:t>[Nom, Prénom — Tuteur de stage, Sicoval, fonction]</w:t>
      </w:r>
    </w:p>
    <w:p w14:paraId="4ED75FF6" w14:textId="77777777" w:rsidR="00AF0680" w:rsidRDefault="00141CAE">
      <w:pPr>
        <w:jc w:val="center"/>
      </w:pPr>
      <w:r>
        <w:rPr>
          <w:sz w:val="20"/>
          <w:szCs w:val="20"/>
        </w:rPr>
        <w:t>[Nom, Prénom — Enseignant référent, établissement]</w:t>
      </w:r>
    </w:p>
    <w:p w14:paraId="378948D1" w14:textId="77777777" w:rsidR="00AF0680" w:rsidRDefault="00141CAE">
      <w:pPr>
        <w:jc w:val="center"/>
      </w:pPr>
      <w:r>
        <w:rPr>
          <w:sz w:val="20"/>
          <w:szCs w:val="20"/>
        </w:rPr>
        <w:t>[Nom, Prénom — Évaluateur]</w:t>
      </w:r>
    </w:p>
    <w:p w14:paraId="28BB5BB5" w14:textId="77777777" w:rsidR="00AF0680" w:rsidRDefault="00141CAE">
      <w:r>
        <w:br w:type="page"/>
      </w:r>
    </w:p>
    <w:p w14:paraId="36BA0A2B" w14:textId="77777777" w:rsidR="00AF0680" w:rsidRDefault="00141CAE">
      <w:pPr>
        <w:pStyle w:val="Titre1"/>
      </w:pPr>
      <w:r>
        <w:lastRenderedPageBreak/>
        <w:t>Lettre de mission</w:t>
      </w:r>
    </w:p>
    <w:p w14:paraId="1A24DE2D" w14:textId="77777777" w:rsidR="00BE7026" w:rsidRDefault="00BE7026">
      <w:r>
        <w:object w:dxaOrig="8925" w:dyaOrig="12630" w14:anchorId="7A6323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5pt;height:631.5pt" o:ole="">
            <v:imagedata r:id="rId9" o:title=""/>
          </v:shape>
          <o:OLEObject Type="Embed" ProgID="AcroExch.Document.DC" ShapeID="_x0000_i1025" DrawAspect="Content" ObjectID="_1849450174" r:id="rId10"/>
        </w:object>
      </w:r>
    </w:p>
    <w:p w14:paraId="136C33ED" w14:textId="77777777" w:rsidR="00BE7026" w:rsidRDefault="00BE7026">
      <w:r>
        <w:br w:type="page"/>
      </w:r>
    </w:p>
    <w:p w14:paraId="3910BAD4" w14:textId="77777777" w:rsidR="00AF0680" w:rsidRDefault="001C74ED">
      <w:r>
        <w:object w:dxaOrig="8925" w:dyaOrig="12630" w14:anchorId="48458D42">
          <v:shape id="_x0000_i1026" type="#_x0000_t75" style="width:446.5pt;height:631.5pt" o:ole="">
            <v:imagedata r:id="rId11" o:title=""/>
          </v:shape>
          <o:OLEObject Type="Embed" ProgID="AcroExch.Document.DC" ShapeID="_x0000_i1026" DrawAspect="Content" ObjectID="_1849450175" r:id="rId12"/>
        </w:object>
      </w:r>
      <w:r w:rsidR="00141CAE">
        <w:br w:type="page"/>
      </w:r>
    </w:p>
    <w:p w14:paraId="51DC258A" w14:textId="77777777" w:rsidR="00AF0680" w:rsidRDefault="00141CAE">
      <w:pPr>
        <w:pStyle w:val="Titre1"/>
      </w:pPr>
      <w:r>
        <w:lastRenderedPageBreak/>
        <w:t>Remerciements</w:t>
      </w:r>
    </w:p>
    <w:p w14:paraId="059906C3" w14:textId="77777777" w:rsidR="00AF0680" w:rsidRDefault="00141CAE">
      <w:pPr>
        <w:spacing w:after="100"/>
      </w:pPr>
      <w:r>
        <w:rPr>
          <w:i/>
          <w:iCs/>
          <w:color w:val="595959"/>
          <w:sz w:val="20"/>
          <w:szCs w:val="20"/>
        </w:rPr>
        <w:t>▸ Remercier le tuteur de stage, l'équipe du service Urbanisme &amp; Habitat, l'enseignant référent, et toute personne ayant contribué (AUAT, autres services SIG...).</w:t>
      </w:r>
    </w:p>
    <w:p w14:paraId="5AA52255" w14:textId="77777777" w:rsidR="00AF0680" w:rsidRDefault="00141CAE">
      <w:pPr>
        <w:spacing w:after="200"/>
      </w:pPr>
      <w:r>
        <w:t>Je tiens à remercier [Prénom NOM], [fonction], mon tuteur de stage au sein du Sicoval, pour m'avoir accueilli(e) au sein du Service Urbanisme &amp; Habitat et pour [préciser : la confiance accordée, l'accompagnement méthodologique, la disponibilité, etc.].</w:t>
      </w:r>
    </w:p>
    <w:p w14:paraId="0C22F943" w14:textId="77777777" w:rsidR="00AF0680" w:rsidRDefault="00141CAE">
      <w:pPr>
        <w:spacing w:after="200"/>
      </w:pPr>
      <w:r>
        <w:t>Je remercie également l'ensemble de l'équipe du service pour [son accueil / son aide dans la compréhension des données et des outils / les échanges réguliers], ainsi que [citer les autres personnes ressources : géomaticien(ne) référent(e), AUAT, etc.].</w:t>
      </w:r>
    </w:p>
    <w:p w14:paraId="34C145C6" w14:textId="77777777" w:rsidR="00AF0680" w:rsidRDefault="00141CAE">
      <w:pPr>
        <w:spacing w:after="200"/>
      </w:pPr>
      <w:r>
        <w:t>Enfin, je remercie [Prénom NOM], mon enseignant référent au sein de [établissement], pour le suivi apporté tout au long du stage.</w:t>
      </w:r>
    </w:p>
    <w:p w14:paraId="759E8CE0" w14:textId="77777777" w:rsidR="00AF0680" w:rsidRDefault="00141CAE">
      <w:r>
        <w:br w:type="page"/>
      </w:r>
    </w:p>
    <w:p w14:paraId="5E8F664F" w14:textId="77777777" w:rsidR="00AF0680" w:rsidRDefault="00141CAE">
      <w:pPr>
        <w:pStyle w:val="Titre1"/>
      </w:pPr>
      <w:r>
        <w:lastRenderedPageBreak/>
        <w:t>Table des matières</w:t>
      </w:r>
    </w:p>
    <w:p w14:paraId="3E54C522" w14:textId="77777777" w:rsidR="00AF0680" w:rsidRDefault="00141CAE">
      <w:pPr>
        <w:spacing w:after="100"/>
      </w:pPr>
      <w:r>
        <w:rPr>
          <w:i/>
          <w:iCs/>
          <w:color w:val="595959"/>
          <w:sz w:val="20"/>
          <w:szCs w:val="20"/>
        </w:rPr>
        <w:t>▸ Générer automatiquement la table des matières via les styles de titres (clic droit → Mettre à jour les champs, une fois le rapport terminé).</w:t>
      </w:r>
    </w:p>
    <w:sdt>
      <w:sdtPr>
        <w:alias w:val="Table des matières"/>
        <w:id w:val="381066626"/>
      </w:sdtPr>
      <w:sdtContent>
        <w:p w14:paraId="551B7A6C" w14:textId="77777777" w:rsidR="00AF0680" w:rsidRDefault="00141CAE">
          <w:r>
            <w:fldChar w:fldCharType="begin"/>
          </w:r>
          <w:r>
            <w:instrText>TOC \h \o "1-3"</w:instrText>
          </w:r>
          <w:r>
            <w:fldChar w:fldCharType="separate"/>
          </w:r>
        </w:p>
        <w:p w14:paraId="1A346F9B" w14:textId="77777777" w:rsidR="00AF0680" w:rsidRDefault="00141CAE">
          <w:r>
            <w:fldChar w:fldCharType="end"/>
          </w:r>
        </w:p>
      </w:sdtContent>
    </w:sdt>
    <w:p w14:paraId="68AA5623" w14:textId="77777777" w:rsidR="00AF0680" w:rsidRDefault="00141CAE">
      <w:r>
        <w:br w:type="page"/>
      </w:r>
    </w:p>
    <w:p w14:paraId="69B76BD5" w14:textId="77777777" w:rsidR="00AF0680" w:rsidRDefault="00141CAE">
      <w:pPr>
        <w:pStyle w:val="Titre1"/>
      </w:pPr>
      <w:r>
        <w:lastRenderedPageBreak/>
        <w:t>Introduction</w:t>
      </w:r>
    </w:p>
    <w:p w14:paraId="3CB0B288" w14:textId="77777777" w:rsidR="00AF0680" w:rsidRDefault="00141CAE">
      <w:pPr>
        <w:pStyle w:val="Titre2"/>
      </w:pPr>
      <w:r>
        <w:t>Présentation du contexte : le Sicoval et le service Urbanisme &amp; Habitat</w:t>
      </w:r>
    </w:p>
    <w:p w14:paraId="61BDD150" w14:textId="77777777" w:rsidR="00AF0680" w:rsidRDefault="00141CAE">
      <w:pPr>
        <w:spacing w:after="100"/>
      </w:pPr>
      <w:r>
        <w:rPr>
          <w:i/>
          <w:iCs/>
          <w:color w:val="595959"/>
          <w:sz w:val="20"/>
          <w:szCs w:val="20"/>
        </w:rPr>
        <w:t>▸ Présenter le territoire (nombre de communes, population, situation géographique, compétences de l'EPCI), puis la Direction de l'Aménagement et le rôle du Service Urbanisme &amp; Habitat.</w:t>
      </w:r>
    </w:p>
    <w:p w14:paraId="4A13D5F5" w14:textId="77777777" w:rsidR="00FC2EFD" w:rsidRDefault="00141CAE">
      <w:pPr>
        <w:spacing w:after="200"/>
      </w:pPr>
      <w:r>
        <w:t>Le Sicoval</w:t>
      </w:r>
      <w:r w:rsidR="00931409">
        <w:t xml:space="preserve"> </w:t>
      </w:r>
      <w:r w:rsidR="00931409" w:rsidRPr="00843632">
        <w:rPr>
          <w:i/>
        </w:rPr>
        <w:t>(</w:t>
      </w:r>
      <w:r w:rsidR="00843632" w:rsidRPr="00843632">
        <w:rPr>
          <w:i/>
        </w:rPr>
        <w:t>Syndicat intercommunal pour l’aménagement et le développement des coteaux et de la vallée de l’Hers)</w:t>
      </w:r>
      <w:r>
        <w:t xml:space="preserve">, Communauté d'agglomération du Sud-Est Toulousain, regroupe </w:t>
      </w:r>
      <w:r w:rsidR="00843632">
        <w:t>36</w:t>
      </w:r>
      <w:r>
        <w:t xml:space="preserve"> communes et environ </w:t>
      </w:r>
      <w:r w:rsidR="00843632">
        <w:t>84 219 (2023)</w:t>
      </w:r>
      <w:r>
        <w:t xml:space="preserve"> habitants sur un territoire de </w:t>
      </w:r>
      <w:r w:rsidR="00843632">
        <w:t>248,40</w:t>
      </w:r>
      <w:r>
        <w:t xml:space="preserve"> km².</w:t>
      </w:r>
      <w:r w:rsidR="00B61987">
        <w:t xml:space="preserve"> Sa création en 1975 par six communes du Sud-Est Toulousain est motivé par l’objectifs d’avoir une gestion commune des équipements publics,</w:t>
      </w:r>
      <w:r w:rsidR="00FC2EFD">
        <w:t xml:space="preserve"> d’accélérer le développement économique (création du parc d’activités Labège-</w:t>
      </w:r>
      <w:proofErr w:type="spellStart"/>
      <w:r w:rsidR="00FC2EFD">
        <w:t>Innopole</w:t>
      </w:r>
      <w:proofErr w:type="spellEnd"/>
      <w:r w:rsidR="00FC2EFD">
        <w:t xml:space="preserve">) et de mutualiser la gestion de la taxe professionnelle. </w:t>
      </w:r>
    </w:p>
    <w:p w14:paraId="7604076B" w14:textId="77777777" w:rsidR="00AF0680" w:rsidRDefault="00FC2EFD">
      <w:pPr>
        <w:spacing w:after="200"/>
      </w:pPr>
      <w:r>
        <w:t xml:space="preserve">La communauté d’agglomération </w:t>
      </w:r>
      <w:r w:rsidR="00141CAE">
        <w:t>exerce</w:t>
      </w:r>
      <w:r w:rsidR="00647A9E">
        <w:t xml:space="preserve"> </w:t>
      </w:r>
      <w:r w:rsidR="009C5BCC">
        <w:t>les compétences obligatoires d’une intercommunalité (gestion des déchets, gestion de l’eau, urbanisme et aménagement de l’espace</w:t>
      </w:r>
      <w:r w:rsidR="00141CAE">
        <w:t>,</w:t>
      </w:r>
      <w:r w:rsidR="009C5BCC">
        <w:t xml:space="preserve"> développement économique), ainsi que des compétences dites facultatives notamment la voirie</w:t>
      </w:r>
      <w:r w:rsidR="003F657D">
        <w:t xml:space="preserve"> et l’action sociale (crèches et cuisine centrale pour les scolaires.). Ces compétences font du Sicoval un acteur central de la planification territoriale</w:t>
      </w:r>
      <w:r w:rsidR="00141CAE">
        <w:t>.</w:t>
      </w:r>
    </w:p>
    <w:p w14:paraId="139D97E6" w14:textId="77777777" w:rsidR="00FD0E3F" w:rsidRDefault="003F657D">
      <w:pPr>
        <w:spacing w:after="200"/>
      </w:pPr>
      <w:r>
        <w:t xml:space="preserve">La </w:t>
      </w:r>
      <w:r w:rsidR="002C2A1D">
        <w:t>D</w:t>
      </w:r>
      <w:r>
        <w:t>irection</w:t>
      </w:r>
      <w:r w:rsidR="002C2A1D">
        <w:t xml:space="preserve"> de l’Aménagement Urbanisme et Habitat pilote la stratégie territoriale avec plusieurs services clés : </w:t>
      </w:r>
    </w:p>
    <w:p w14:paraId="1FD90821" w14:textId="77777777" w:rsidR="00FD0E3F" w:rsidRDefault="00FD0E3F" w:rsidP="00FD0E3F">
      <w:pPr>
        <w:pStyle w:val="Paragraphedeliste"/>
        <w:numPr>
          <w:ilvl w:val="0"/>
          <w:numId w:val="3"/>
        </w:numPr>
        <w:spacing w:after="200"/>
      </w:pPr>
      <w:r w:rsidRPr="00FD0E3F">
        <w:rPr>
          <w:b/>
        </w:rPr>
        <w:t>L’ADS</w:t>
      </w:r>
      <w:r w:rsidR="002C2A1D">
        <w:t xml:space="preserve"> (</w:t>
      </w:r>
      <w:r w:rsidR="00463B3D">
        <w:t>Autorisation du Droit des Sols) chargé d’instruire les permis de construire</w:t>
      </w:r>
      <w:r>
        <w:t xml:space="preserve"> conforme aux règlements d’urbanisme.</w:t>
      </w:r>
    </w:p>
    <w:p w14:paraId="6419AEF5" w14:textId="77777777" w:rsidR="00FD0E3F" w:rsidRDefault="00FD0E3F" w:rsidP="00FD0E3F">
      <w:pPr>
        <w:pStyle w:val="Paragraphedeliste"/>
        <w:numPr>
          <w:ilvl w:val="0"/>
          <w:numId w:val="3"/>
        </w:numPr>
        <w:spacing w:after="200"/>
      </w:pPr>
      <w:r w:rsidRPr="00FD0E3F">
        <w:rPr>
          <w:b/>
        </w:rPr>
        <w:t>Le service foncier</w:t>
      </w:r>
      <w:r>
        <w:t xml:space="preserve"> qui est en charge de l’acquisition des terrains et des </w:t>
      </w:r>
      <w:r w:rsidR="00352F1D">
        <w:t>bâtiments</w:t>
      </w:r>
      <w:r>
        <w:t xml:space="preserve"> indispensables à la réalisation des projets d’intérêt public.</w:t>
      </w:r>
    </w:p>
    <w:p w14:paraId="4859C618" w14:textId="77777777" w:rsidR="00F55D64" w:rsidRDefault="00F55D64" w:rsidP="00FD0E3F">
      <w:pPr>
        <w:pStyle w:val="Paragraphedeliste"/>
        <w:numPr>
          <w:ilvl w:val="0"/>
          <w:numId w:val="3"/>
        </w:numPr>
        <w:spacing w:after="200"/>
      </w:pPr>
      <w:r>
        <w:rPr>
          <w:b/>
        </w:rPr>
        <w:t xml:space="preserve">Les </w:t>
      </w:r>
      <w:r w:rsidR="00B31D8E" w:rsidRPr="00B31D8E">
        <w:rPr>
          <w:b/>
        </w:rPr>
        <w:t>Eaux Pluviales Urbaines</w:t>
      </w:r>
      <w:r w:rsidR="002C2A1D">
        <w:t xml:space="preserve"> </w:t>
      </w:r>
      <w:r>
        <w:t>s’occupe de la prévention du risque inondation et de la pollution liés aux eaux de pluie.</w:t>
      </w:r>
    </w:p>
    <w:p w14:paraId="37115F6F" w14:textId="15E9594B" w:rsidR="00AF0680" w:rsidRDefault="00F55D64" w:rsidP="00FD0E3F">
      <w:pPr>
        <w:pStyle w:val="Paragraphedeliste"/>
        <w:numPr>
          <w:ilvl w:val="0"/>
          <w:numId w:val="3"/>
        </w:numPr>
        <w:spacing w:after="200"/>
      </w:pPr>
      <w:r>
        <w:rPr>
          <w:b/>
        </w:rPr>
        <w:t>Le service Urbanisme</w:t>
      </w:r>
      <w:r w:rsidR="00694AD2">
        <w:rPr>
          <w:b/>
        </w:rPr>
        <w:t>, Habitat</w:t>
      </w:r>
      <w:r>
        <w:rPr>
          <w:b/>
        </w:rPr>
        <w:t xml:space="preserve"> et </w:t>
      </w:r>
      <w:r w:rsidRPr="00F55D64">
        <w:rPr>
          <w:b/>
        </w:rPr>
        <w:t>Planification</w:t>
      </w:r>
      <w:r>
        <w:t>, c’est au sein de ce service que le stage a été effectué. La mission principale du service est d’accompagnée les communes du Sicoval dans l’élaboration</w:t>
      </w:r>
      <w:r w:rsidR="00694AD2">
        <w:t xml:space="preserve"> et la révision</w:t>
      </w:r>
      <w:r>
        <w:t xml:space="preserve"> de leur PLU (Plan local d’urbanisme).</w:t>
      </w:r>
      <w:r w:rsidR="00AF284F">
        <w:t xml:space="preserve"> Le Plu est un document de planification qui fixe les règles d’aménagement et d’utilisation des sols à l’échelle de la commune. </w:t>
      </w:r>
      <w:r>
        <w:t>Les chargés de mission urbanisme mettent également en place les outils pour voir émerger à terme un PLUI (Plan local d’urbanisme intercommunal)</w:t>
      </w:r>
      <w:r w:rsidR="00AD0F97">
        <w:t>, qui n’a pas encore été adopté par les élus de l’intercommunalité</w:t>
      </w:r>
      <w:r w:rsidR="00694AD2">
        <w:t>.</w:t>
      </w:r>
      <w:r w:rsidR="00AF284F">
        <w:t xml:space="preserve"> </w:t>
      </w:r>
      <w:r w:rsidR="00AD0F97">
        <w:t>Le service est également en charge du</w:t>
      </w:r>
      <w:r w:rsidR="00AF284F">
        <w:t xml:space="preserve"> PLH (plan local de l’habitant</w:t>
      </w:r>
      <w:r w:rsidR="00AD0F97">
        <w:t>)</w:t>
      </w:r>
      <w:r w:rsidR="00AF284F">
        <w:t xml:space="preserve"> qui est un document stratégique qui définit la politique du logement et de l’hébergement.</w:t>
      </w:r>
      <w:r w:rsidR="00141CAE">
        <w:t xml:space="preserve"> C'est dans ce cadre que s'inscrit le stage, dont l'enjeu est de </w:t>
      </w:r>
      <w:r w:rsidR="00AD0F97">
        <w:t>pouvoir être utile à l’ensemble des missions du service Urbanisme.</w:t>
      </w:r>
      <w:r w:rsidR="00141CAE">
        <w:t xml:space="preserve"> </w:t>
      </w:r>
    </w:p>
    <w:p w14:paraId="30870190"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rFonts w:ascii="Segoe UI Emoji" w:hAnsi="Segoe UI Emoji" w:cs="Segoe UI Emoji"/>
          <w:i/>
          <w:iCs/>
          <w:sz w:val="20"/>
          <w:szCs w:val="20"/>
        </w:rPr>
        <w:t>🖼</w:t>
      </w:r>
      <w:r>
        <w:rPr>
          <w:i/>
          <w:iCs/>
          <w:sz w:val="20"/>
          <w:szCs w:val="20"/>
        </w:rPr>
        <w:t xml:space="preserve">  Illustration</w:t>
      </w:r>
      <w:proofErr w:type="gramEnd"/>
      <w:r>
        <w:rPr>
          <w:i/>
          <w:iCs/>
          <w:sz w:val="20"/>
          <w:szCs w:val="20"/>
        </w:rPr>
        <w:t xml:space="preserve"> suggérée : carte de localisation du territoire du Sicoval (communes membres, situation dans l'aire toulousaine).</w:t>
      </w:r>
    </w:p>
    <w:p w14:paraId="4653BBCB"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rFonts w:ascii="Segoe UI Symbol" w:hAnsi="Segoe UI Symbol" w:cs="Segoe UI Symbol"/>
          <w:i/>
          <w:iCs/>
          <w:sz w:val="20"/>
          <w:szCs w:val="20"/>
        </w:rPr>
        <w:t>🖼</w:t>
      </w:r>
      <w:r>
        <w:rPr>
          <w:i/>
          <w:iCs/>
          <w:sz w:val="20"/>
          <w:szCs w:val="20"/>
        </w:rPr>
        <w:t xml:space="preserve">  Illustration</w:t>
      </w:r>
      <w:proofErr w:type="gramEnd"/>
      <w:r>
        <w:rPr>
          <w:i/>
          <w:iCs/>
          <w:sz w:val="20"/>
          <w:szCs w:val="20"/>
        </w:rPr>
        <w:t xml:space="preserve"> suggérée : organigramme simplifié de la Direction de l'Aménagement / positionnement du Service Urbanisme &amp; Habitat.</w:t>
      </w:r>
    </w:p>
    <w:p w14:paraId="1558235B" w14:textId="77777777" w:rsidR="00AF0680" w:rsidRDefault="00141CAE">
      <w:pPr>
        <w:pStyle w:val="Titre2"/>
      </w:pPr>
      <w:r>
        <w:t>Cadre réglementaire et objectifs du stage</w:t>
      </w:r>
    </w:p>
    <w:p w14:paraId="71510DE8" w14:textId="77777777" w:rsidR="00AF0680" w:rsidRDefault="00141CAE">
      <w:pPr>
        <w:spacing w:after="100"/>
      </w:pPr>
      <w:r>
        <w:rPr>
          <w:i/>
          <w:iCs/>
          <w:color w:val="595959"/>
          <w:sz w:val="20"/>
          <w:szCs w:val="20"/>
        </w:rPr>
        <w:t>▸ Reprendre la lettre de mission et la contextualiser réglementairement : loi ZAN, compatibilité SCOT, PLH, PLU, rôle des SIG dans les politiques publiques.</w:t>
      </w:r>
    </w:p>
    <w:p w14:paraId="4D8F71CB" w14:textId="3EE94DAE" w:rsidR="00AF0680" w:rsidRDefault="00141CAE" w:rsidP="00F92C32">
      <w:pPr>
        <w:spacing w:after="200"/>
        <w:ind w:firstLine="708"/>
      </w:pPr>
      <w:r>
        <w:lastRenderedPageBreak/>
        <w:t>Le contexte réglementaire national et local impose aux collectivités des obligations croissantes en matière de sobriété foncière et de suivi de l'habitat. L'article L151-4 du Code de l'urbanisme impose de justifier l'ouverture à l'urbanisation par une étude de densification, tandis que la loi Climat et Résilience fixe une trajectoire de réduction de l'artificialisation des sols</w:t>
      </w:r>
      <w:r w:rsidR="00F92C32">
        <w:t xml:space="preserve"> à travers la loi ZAN (Zéro Artificialisation Nette)</w:t>
      </w:r>
      <w:r>
        <w:t>.</w:t>
      </w:r>
      <w:r w:rsidR="00F92C32">
        <w:t xml:space="preserve"> Les communes sont limité</w:t>
      </w:r>
      <w:r w:rsidR="005B4905">
        <w:t>e</w:t>
      </w:r>
      <w:r w:rsidR="00F92C32">
        <w:t xml:space="preserve">s dans leur consommation d’espace, la loi ZAN impose de stopper l’artificialisation </w:t>
      </w:r>
      <w:proofErr w:type="gramStart"/>
      <w:r w:rsidR="00F92C32">
        <w:t>d</w:t>
      </w:r>
      <w:r w:rsidR="005B4905">
        <w:t>u</w:t>
      </w:r>
      <w:r w:rsidR="00F92C32">
        <w:t xml:space="preserve"> sols</w:t>
      </w:r>
      <w:proofErr w:type="gramEnd"/>
      <w:r w:rsidR="00F92C32">
        <w:t xml:space="preserve"> d’ici 2050.</w:t>
      </w:r>
      <w:r>
        <w:t xml:space="preserve"> Le SCOT du territoire fixe</w:t>
      </w:r>
      <w:r w:rsidR="005B4905">
        <w:t xml:space="preserve"> les</w:t>
      </w:r>
      <w:r>
        <w:t xml:space="preserve"> objectifs </w:t>
      </w:r>
      <w:r w:rsidR="005B4905">
        <w:t xml:space="preserve">intermédiaires </w:t>
      </w:r>
      <w:r>
        <w:t>de sobriété foncière (part minimale de densification, consommation maximale par habitant, densités minimales). Enfin, l'article L302-1 du Code de la construction et de l'habitation (issu de la loi ZAN, décret du 12 octobre 2022) impose la mise en place d'un observatoire de l'habitat et du foncier.</w:t>
      </w:r>
      <w:r w:rsidR="005B4905">
        <w:t xml:space="preserve"> Cet observatoire permet </w:t>
      </w:r>
      <w:r w:rsidR="006A64F8">
        <w:t>aux agents de justifier la stratégie proposée aux élus.</w:t>
      </w:r>
    </w:p>
    <w:p w14:paraId="130D63F9" w14:textId="77777777" w:rsidR="00AF0680" w:rsidRDefault="00141CAE" w:rsidP="006A64F8">
      <w:pPr>
        <w:spacing w:after="200"/>
        <w:ind w:firstLine="708"/>
      </w:pPr>
      <w:r>
        <w:t>Ces exigences soulèvent, pour le service, de nombreuses questions opérationnelles : où construire pour respecter la trajectoire ZAN ? Quelle part de la production doit être réalisée en densification plutôt qu'en extension ? Quels besoins en logements, activités ou équipements, et où les localiser ? [</w:t>
      </w:r>
      <w:proofErr w:type="gramStart"/>
      <w:r>
        <w:t>compléter</w:t>
      </w:r>
      <w:proofErr w:type="gramEnd"/>
      <w:r>
        <w:t xml:space="preserve"> avec d'autres questions issues du diaporama de cadrage / de la lettre de mission].</w:t>
      </w:r>
    </w:p>
    <w:p w14:paraId="03C0F82A" w14:textId="77777777" w:rsidR="00AF0680" w:rsidRDefault="00141CAE">
      <w:pPr>
        <w:spacing w:after="200"/>
      </w:pPr>
      <w:r>
        <w:t>C'est pour répondre à ces enjeux que le stage a été proposé, avec pour objectif de contribuer à la construction d'une Solution d'Analyse Spatiale (S.A.S.), outil destiné à croiser les données foncières et statistiques du territoire (occupation du sol, planification, habitat, développement économique, biodiversité, agriculture, mobilités) au service de l'aménagement.</w:t>
      </w:r>
    </w:p>
    <w:p w14:paraId="1CFD1949" w14:textId="77777777" w:rsidR="00AF0680" w:rsidRDefault="00141CAE">
      <w:pPr>
        <w:spacing w:after="200"/>
      </w:pPr>
      <w:r>
        <w:t>Les systèmes d'information géographique (SIG) jouent ici un rôle central : ils permettent de spatialiser, croiser et actualiser ces données pour objectiver les choix d'aménagement et fonder une stratégie territoriale [à développer : quelques lignes sur le rôle des SIG comme outil d'aide à la décision dans les politiques publiques d'urbanisme et d'habitat].</w:t>
      </w:r>
    </w:p>
    <w:p w14:paraId="34BFB793"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schéma de synthèse « principes des analyses spatiales autour des questions d'aménagement » (données foncières + statistiques → thématiques → analyses/choix/stratégie) — à reprendre/adapter du diaporama de cadrage du stage.</w:t>
      </w:r>
    </w:p>
    <w:p w14:paraId="39F242C4" w14:textId="77777777" w:rsidR="00AF0680" w:rsidRDefault="00141CAE">
      <w:pPr>
        <w:pStyle w:val="Titre2"/>
      </w:pPr>
      <w:r>
        <w:t>Problématique</w:t>
      </w:r>
    </w:p>
    <w:p w14:paraId="1DF8342B" w14:textId="77777777" w:rsidR="00AF0680" w:rsidRDefault="00141CAE">
      <w:pPr>
        <w:spacing w:after="100"/>
      </w:pPr>
      <w:r>
        <w:rPr>
          <w:i/>
          <w:iCs/>
          <w:color w:val="595959"/>
          <w:sz w:val="20"/>
          <w:szCs w:val="20"/>
        </w:rPr>
        <w:t>▸ Formuler la problématique du stage de façon claire et unique — c'est la question à laquelle tout le rapport doit répondre.</w:t>
      </w:r>
    </w:p>
    <w:p w14:paraId="55F61CBA" w14:textId="77777777" w:rsidR="00AF0680" w:rsidRDefault="00141CAE">
      <w:pPr>
        <w:spacing w:after="200"/>
      </w:pPr>
      <w:r>
        <w:t>Comment mettre en place un système d'analyse spatiale permettant d'automatiser la production d'indicateurs fonciers et d'améliorer le suivi de l'urbanisation, au service des besoins du Service Urbanisme &amp; Habitat du Sicoval ?</w:t>
      </w:r>
    </w:p>
    <w:p w14:paraId="5DB8F3DE" w14:textId="77777777" w:rsidR="00AF0680" w:rsidRDefault="00141CAE">
      <w:pPr>
        <w:pBdr>
          <w:top w:val="single" w:sz="4" w:space="0" w:color="70AD47"/>
          <w:left w:val="single" w:sz="4" w:space="0" w:color="70AD47"/>
          <w:bottom w:val="single" w:sz="4" w:space="0" w:color="70AD47"/>
          <w:right w:val="single" w:sz="4" w:space="0" w:color="70AD47"/>
        </w:pBdr>
        <w:shd w:val="clear" w:color="auto" w:fill="E2EFDA"/>
        <w:spacing w:before="120" w:after="240"/>
      </w:pPr>
      <w:r>
        <w:rPr>
          <w:i/>
          <w:iCs/>
          <w:sz w:val="20"/>
          <w:szCs w:val="20"/>
        </w:rPr>
        <w:t>📝 Conseil rédaction : Cette problématique doit être rappelée en filigrane dans chaque partie et reprise explicitement dans la conclusion pour montrer qu'elle a été traitée.</w:t>
      </w:r>
    </w:p>
    <w:p w14:paraId="1B7085DC" w14:textId="77777777" w:rsidR="00AF0680" w:rsidRDefault="00141CAE">
      <w:pPr>
        <w:pStyle w:val="Titre2"/>
      </w:pPr>
      <w:r>
        <w:t>Commandes du stage et annonce du plan</w:t>
      </w:r>
    </w:p>
    <w:p w14:paraId="46CC0637" w14:textId="77777777" w:rsidR="00AF0680" w:rsidRDefault="00141CAE">
      <w:pPr>
        <w:spacing w:after="100"/>
      </w:pPr>
      <w:r>
        <w:rPr>
          <w:i/>
          <w:iCs/>
          <w:color w:val="595959"/>
          <w:sz w:val="20"/>
          <w:szCs w:val="20"/>
        </w:rPr>
        <w:t>▸ Détailler la commande (double objectif : concevoir l'observatoire + structurer une méthodologie reproductible de mise à jour), puis annoncer le plan du rapport en une phrase par partie.</w:t>
      </w:r>
    </w:p>
    <w:p w14:paraId="1C1735CA" w14:textId="77777777" w:rsidR="00AF0680" w:rsidRDefault="00141CAE">
      <w:pPr>
        <w:spacing w:after="200"/>
      </w:pPr>
      <w:r>
        <w:t>La mission confiée s'articule autour de deux commandes principales : d'une part, la conception d'un observatoire territorial permettant de suivre la consommation foncière et l'évolution du parc de logements ; d'autre part, la structuration d'une méthodologie reproductible permettant de mettre à jour régulièrement les données alimentant cet observatoire.</w:t>
      </w:r>
    </w:p>
    <w:p w14:paraId="417736A3" w14:textId="77777777" w:rsidR="00AF0680" w:rsidRDefault="00141CAE">
      <w:pPr>
        <w:spacing w:after="200"/>
      </w:pPr>
      <w:r>
        <w:lastRenderedPageBreak/>
        <w:t>Pour répondre à cette commande, ce rapport s'organise en trois parties. La première présente le diagnostic et le cadrage de la Solution d'Analyse Spatiale, à partir de l'analyse des besoins et de l'état de l'art. La deuxième détaille la modélisation, la conception et l'automatisation de l'observatoire. La troisième présente le développement de l'interface d'exploitation et le transfert de compétences vers les agents du service. Une discussion critique des résultats précède la conclusion, qui dresse le bilan du travail réalisé et ouvre sur des perspectives d'amélioration.</w:t>
      </w:r>
    </w:p>
    <w:p w14:paraId="1577E428" w14:textId="77777777" w:rsidR="00AF0680" w:rsidRDefault="00141CAE">
      <w:r>
        <w:br w:type="page"/>
      </w:r>
    </w:p>
    <w:p w14:paraId="33789D50" w14:textId="77777777" w:rsidR="00AF0680" w:rsidRDefault="00141CAE">
      <w:pPr>
        <w:pStyle w:val="Titre1"/>
      </w:pPr>
      <w:r>
        <w:lastRenderedPageBreak/>
        <w:t>1. Diagnostic et cadrage de la Solution d'Analyse Spatiale</w:t>
      </w:r>
    </w:p>
    <w:p w14:paraId="3537C42E" w14:textId="77777777" w:rsidR="00AF0680" w:rsidRDefault="00141CAE">
      <w:pPr>
        <w:pStyle w:val="Titre2"/>
      </w:pPr>
      <w:r>
        <w:t>1.1 Compréhension et analyse des besoins métiers</w:t>
      </w:r>
    </w:p>
    <w:p w14:paraId="376DE271" w14:textId="77777777" w:rsidR="00AF0680" w:rsidRDefault="00141CAE">
      <w:pPr>
        <w:pStyle w:val="Titre3"/>
      </w:pPr>
      <w:r>
        <w:t>Analyse des besoins du service</w:t>
      </w:r>
    </w:p>
    <w:p w14:paraId="0D94D8B4" w14:textId="77777777" w:rsidR="00AF0680" w:rsidRDefault="00141CAE">
      <w:pPr>
        <w:spacing w:after="100"/>
      </w:pPr>
      <w:r>
        <w:rPr>
          <w:i/>
          <w:iCs/>
          <w:color w:val="595959"/>
          <w:sz w:val="20"/>
          <w:szCs w:val="20"/>
        </w:rPr>
        <w:t>▸ Définir le rôle attendu de l'observatoire (suivi de données, calcul d'indicateurs) et lister les indicateurs nécessaires à l'élaboration du PLU.</w:t>
      </w:r>
    </w:p>
    <w:p w14:paraId="224A2817" w14:textId="77777777" w:rsidR="00AF0680" w:rsidRDefault="00141CAE">
      <w:pPr>
        <w:spacing w:after="200"/>
      </w:pPr>
      <w:r>
        <w:t>La première étape du stage a consisté à recueillir et analyser les besoins exprimés par le Service Urbanisme &amp; Habitat. Il s'agissait notamment de définir le rôle attendu de l'observatoire : [suivi continu des données foncières et d'habitat / production automatisée d'indicateurs / aide à la décision pour l'élaboration ou la révision des documents d'urbanisme].</w:t>
      </w:r>
    </w:p>
    <w:p w14:paraId="11F0C4C3" w14:textId="77777777" w:rsidR="00AF0680" w:rsidRDefault="00141CAE">
      <w:pPr>
        <w:spacing w:after="200"/>
      </w:pPr>
      <w:r>
        <w:t>Plusieurs indicateurs ont été identifiés comme nécessaires à l'élaboration ou à la justification du PLU, parmi lesquels : le nombre de logements produits à l'hectare, le potentiel d'intensification (ou de densification) du tissu urbain existant, et le potentiel en opération (foncier mobilisable identifié dans le cadre de projets ou d'OAP). [Développer et illustrer chaque indicateur, sa définition, son mode de calcul envisagé].</w:t>
      </w:r>
    </w:p>
    <w:p w14:paraId="5CB92E7A" w14:textId="77777777" w:rsidR="00AF0680" w:rsidRDefault="00141CAE">
      <w:pPr>
        <w:spacing w:after="200"/>
      </w:pPr>
      <w:r>
        <w:t>Ces indicateurs doivent notamment permettre de justifier les décisions du PLU au regard des orientations du SCOT en matière de sobriété foncière (part minimale de densification, consommation maximale d'espace par habitant, densités minimales par commune).</w:t>
      </w:r>
    </w:p>
    <w:p w14:paraId="4738DCA8"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tableau de synthèse des indicateurs identifiés (nom, définition, échelle de calcul, source de données, périodicité).</w:t>
      </w:r>
    </w:p>
    <w:p w14:paraId="6B75E6CE" w14:textId="77777777" w:rsidR="00AF0680" w:rsidRDefault="00141CAE">
      <w:pPr>
        <w:pStyle w:val="Titre3"/>
      </w:pPr>
      <w:r>
        <w:t>Rôle de l'observatoire</w:t>
      </w:r>
    </w:p>
    <w:p w14:paraId="25245B82" w14:textId="77777777" w:rsidR="00AF0680" w:rsidRDefault="00141CAE">
      <w:pPr>
        <w:spacing w:after="100"/>
      </w:pPr>
      <w:r>
        <w:rPr>
          <w:i/>
          <w:iCs/>
          <w:color w:val="595959"/>
          <w:sz w:val="20"/>
          <w:szCs w:val="20"/>
        </w:rPr>
        <w:t>▸ Positionner l'observatoire comme outil stratégique de connaissance du territoire, en lien avec une éventuelle perspective de PLU intercommunal.</w:t>
      </w:r>
    </w:p>
    <w:p w14:paraId="7ED748A3" w14:textId="77777777" w:rsidR="00AF0680" w:rsidRDefault="00141CAE">
      <w:pPr>
        <w:spacing w:after="200"/>
      </w:pPr>
      <w:r>
        <w:t>Au-delà du suivi réglementaire, l'observatoire se veut un outil stratégique de connaissance du territoire en matière de logement et de consommation foncière, permettant de développer une vision partagée et actualisée des dynamiques territoriales. [Préciser en quoi l'observatoire est pensé pour s'articuler avec une perspective de PLU intercommunal, s'il y a lieu].</w:t>
      </w:r>
    </w:p>
    <w:p w14:paraId="240AA12F"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schéma « rôle de l'analyse spatiale pour la Direction de l'Aménagement » (comprendre/identifier → piloter → aménager), adapté du diaporama de cadrage.</w:t>
      </w:r>
    </w:p>
    <w:p w14:paraId="46D6473D" w14:textId="77777777" w:rsidR="00AF0680" w:rsidRDefault="00141CAE">
      <w:pPr>
        <w:pStyle w:val="Titre2"/>
      </w:pPr>
      <w:r>
        <w:t>1.2 État de l'art et évaluation des référentiels utilisés</w:t>
      </w:r>
    </w:p>
    <w:p w14:paraId="2577CDB9" w14:textId="77777777" w:rsidR="00AF0680" w:rsidRDefault="00141CAE">
      <w:pPr>
        <w:pStyle w:val="Titre3"/>
      </w:pPr>
      <w:r>
        <w:t>Exploration des solutions externes</w:t>
      </w:r>
    </w:p>
    <w:p w14:paraId="001BEE87" w14:textId="77777777" w:rsidR="00AF0680" w:rsidRDefault="00141CAE">
      <w:pPr>
        <w:spacing w:after="100"/>
      </w:pPr>
      <w:r>
        <w:rPr>
          <w:i/>
          <w:iCs/>
          <w:color w:val="595959"/>
          <w:sz w:val="20"/>
          <w:szCs w:val="20"/>
        </w:rPr>
        <w:t>▸ Présenter la démarche de benchmark : autres collectivités, agences d'urbanisme, et notamment les échanges avec l'AUAT sur leur méthode d'évaluation des disponibilités foncières.</w:t>
      </w:r>
    </w:p>
    <w:p w14:paraId="4A9A6CFC" w14:textId="77777777" w:rsidR="00AF0680" w:rsidRDefault="00141CAE">
      <w:pPr>
        <w:spacing w:after="200"/>
      </w:pPr>
      <w:r>
        <w:t>Afin de ne pas repartir de zéro et de s'inscrire dans des pratiques éprouvées, un travail d'état de l'art a été mené sur les solutions et méthodes utilisées par d'autres collectivités et agences d'urbanisme. [Lister les structures consultées / la bibliographie mobilisée].</w:t>
      </w:r>
    </w:p>
    <w:p w14:paraId="2153E561" w14:textId="77777777" w:rsidR="00AF0680" w:rsidRDefault="00141CAE">
      <w:pPr>
        <w:spacing w:after="200"/>
      </w:pPr>
      <w:r>
        <w:t>Des échanges ont notamment été conduits avec l'AUAT (Agence d'Urbanisme et d'Aménagement Toulouse aire urbaine) concernant leur méthode d'évaluation des disponibilités foncières [via l'outil MeDispo]. Ces échanges ont permis de [préciser les apports concrets : définition des critères de mutabilité, seuils de densité retenus, méthode de qualification des potentiels, etc.].</w:t>
      </w:r>
    </w:p>
    <w:p w14:paraId="2A937655" w14:textId="77777777" w:rsidR="00AF0680" w:rsidRDefault="00141CAE">
      <w:pPr>
        <w:pBdr>
          <w:top w:val="single" w:sz="4" w:space="0" w:color="70AD47"/>
          <w:left w:val="single" w:sz="4" w:space="0" w:color="70AD47"/>
          <w:bottom w:val="single" w:sz="4" w:space="0" w:color="70AD47"/>
          <w:right w:val="single" w:sz="4" w:space="0" w:color="70AD47"/>
        </w:pBdr>
        <w:shd w:val="clear" w:color="auto" w:fill="E2EFDA"/>
        <w:spacing w:before="120" w:after="240"/>
      </w:pPr>
      <w:r>
        <w:rPr>
          <w:i/>
          <w:iCs/>
          <w:sz w:val="20"/>
          <w:szCs w:val="20"/>
        </w:rPr>
        <w:lastRenderedPageBreak/>
        <w:t>📝 Conseil rédaction : Cette sous-partie gagne à être structurée en tableau comparatif (méthode, points forts, limites, transposabilité au Sicoval) plutôt qu'en texte purement descriptif.</w:t>
      </w:r>
    </w:p>
    <w:p w14:paraId="762F6847"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tableau comparatif des référentiels/méthodes étudiés (structure, méthode d'estimation des potentiels, échelle, points forts/limites).</w:t>
      </w:r>
    </w:p>
    <w:p w14:paraId="13C05DFD" w14:textId="77777777" w:rsidR="00AF0680" w:rsidRDefault="00141CAE">
      <w:pPr>
        <w:pStyle w:val="Titre3"/>
      </w:pPr>
      <w:r>
        <w:t>Inventaire des données internes disponibles</w:t>
      </w:r>
    </w:p>
    <w:p w14:paraId="55E25F7E" w14:textId="77777777" w:rsidR="00AF0680" w:rsidRDefault="00141CAE">
      <w:pPr>
        <w:spacing w:after="100"/>
      </w:pPr>
      <w:r>
        <w:rPr>
          <w:i/>
          <w:iCs/>
          <w:color w:val="595959"/>
          <w:sz w:val="20"/>
          <w:szCs w:val="20"/>
        </w:rPr>
        <w:t>▸ Décrire le référentiel de données du Sicoval mobilisé : OCS-GE, MeDispo, permis de construire, données de l'observatoire de l'habitat.</w:t>
      </w:r>
    </w:p>
    <w:p w14:paraId="68764188" w14:textId="77777777" w:rsidR="00AF0680" w:rsidRDefault="00141CAE">
      <w:pPr>
        <w:spacing w:after="200"/>
      </w:pPr>
      <w:r>
        <w:t>En parallèle, un inventaire des données mobilisables en interne a été réalisé. Ce référentiel comprend notamment : l'OCS-GE (Occupation du Sol à Grande Échelle), qui permet la qualification des espaces naturels, agricoles et forestiers (NAF) ; MeDispo, base recensant les disponibilités foncières ; les données de permis de construire et permis d'aménager (PC-PA), qui retracent les évolutions foncières réalisées ; ainsi que les données de l'observatoire de l'habitat (lotissements, opérations de logements).</w:t>
      </w:r>
    </w:p>
    <w:p w14:paraId="1BBCF9AA" w14:textId="77777777" w:rsidR="00AF0680" w:rsidRDefault="00141CAE">
      <w:pPr>
        <w:spacing w:after="200"/>
      </w:pPr>
      <w:r>
        <w:t>Pour chacune de ces sources, [préciser : la structure de la donnée, sa fréquence de mise à jour, son échelle (parcelle, commune...), ses limites de fiabilité ou de fraîcheur constatées lors de l'analyse].</w:t>
      </w:r>
    </w:p>
    <w:p w14:paraId="3BC2C0E1"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schéma des flux de données mobilisées (S.A.S. = Planification + Aspects fonciers : évolutions foncières, PC-PA, doc. </w:t>
      </w:r>
      <w:proofErr w:type="gramStart"/>
      <w:r>
        <w:rPr>
          <w:i/>
          <w:iCs/>
          <w:sz w:val="20"/>
          <w:szCs w:val="20"/>
        </w:rPr>
        <w:t>d'urbanisme</w:t>
      </w:r>
      <w:proofErr w:type="gramEnd"/>
      <w:r>
        <w:rPr>
          <w:i/>
          <w:iCs/>
          <w:sz w:val="20"/>
          <w:szCs w:val="20"/>
        </w:rPr>
        <w:t>, OCS-GE, MeDispo) — à adapter du diaporama de cadrage du stage.</w:t>
      </w:r>
    </w:p>
    <w:p w14:paraId="396E5493" w14:textId="77777777" w:rsidR="00AF0680" w:rsidRDefault="00141CAE">
      <w:pPr>
        <w:pStyle w:val="Titre2"/>
      </w:pPr>
      <w:r>
        <w:t>1.3 Architecture fonctionnelle et conceptuelle de l'observatoire</w:t>
      </w:r>
    </w:p>
    <w:p w14:paraId="58AF6743" w14:textId="77777777" w:rsidR="00AF0680" w:rsidRDefault="00141CAE">
      <w:pPr>
        <w:pStyle w:val="Titre3"/>
      </w:pPr>
      <w:r>
        <w:t>Modélisation conceptuelle de l'observatoire</w:t>
      </w:r>
    </w:p>
    <w:p w14:paraId="5C1969B4" w14:textId="77777777" w:rsidR="00AF0680" w:rsidRDefault="00141CAE">
      <w:pPr>
        <w:spacing w:after="100"/>
      </w:pPr>
      <w:r>
        <w:rPr>
          <w:i/>
          <w:iCs/>
          <w:color w:val="595959"/>
          <w:sz w:val="20"/>
          <w:szCs w:val="20"/>
        </w:rPr>
        <w:t>▸ Décrire les informations attendues dans l'observatoire, les cas d'usage, le choix des indicateurs, les utilisateurs cibles (chargés de mission, élus), et le choix de la plateforme de diffusion (ArcGIS Web, Leaflet...).</w:t>
      </w:r>
    </w:p>
    <w:p w14:paraId="55F8FB9A" w14:textId="77777777" w:rsidR="00AF0680" w:rsidRDefault="00141CAE">
      <w:pPr>
        <w:spacing w:after="200"/>
      </w:pPr>
      <w:r>
        <w:t>La conception de l'observatoire s'est appuyée sur une modélisation conceptuelle définissant : les informations devant y figurer [liste], les cas d'utilisation envisagés [consultation ponctuelle par un chargé de mission, restitution synthétique à destination des élus, alimentation d'un rapport réglementaire...], et les indicateurs retenus à l'issue du diagnostic (cf. 1.1).</w:t>
      </w:r>
    </w:p>
    <w:p w14:paraId="4BD91B49" w14:textId="77777777" w:rsidR="00AF0680" w:rsidRDefault="00141CAE">
      <w:pPr>
        <w:spacing w:after="200"/>
      </w:pPr>
      <w:r>
        <w:t xml:space="preserve">Les utilisateurs cibles de l'observatoire sont principalement les chargés de mission du service (usage détaillé, analytique) et, dans une moindre mesure, les élus locaux (usage synthétique, restitution cartographique). Ce double public a orienté [préciser les choix de conception qui en découlent : niveaux de détail différenciés, interface simplifiée vs. </w:t>
      </w:r>
      <w:proofErr w:type="gramStart"/>
      <w:r>
        <w:t>accès</w:t>
      </w:r>
      <w:proofErr w:type="gramEnd"/>
      <w:r>
        <w:t xml:space="preserve"> aux données brutes, etc.].</w:t>
      </w:r>
    </w:p>
    <w:p w14:paraId="62F89F47" w14:textId="77777777" w:rsidR="00AF0680" w:rsidRDefault="00141CAE">
      <w:pPr>
        <w:spacing w:after="200"/>
      </w:pPr>
      <w:r>
        <w:t>Concernant l'intégration technique, plusieurs options ont été étudiées pour héberger et diffuser l'observatoire au sein du SIG du Sicoval : [service ArcGIS Web / carte interactive développée en Leaflet / autre solution]. Le choix s'est porté sur [solution retenue], pour les raisons suivantes : [compatibilité avec l'environnement ArcGIS existant, autonomie de mise à jour, coût de licence, facilité de prise en main par les agents non-</w:t>
      </w:r>
      <w:proofErr w:type="spellStart"/>
      <w:r>
        <w:t>SIGistes</w:t>
      </w:r>
      <w:proofErr w:type="spellEnd"/>
      <w:r>
        <w:t>, etc.].</w:t>
      </w:r>
    </w:p>
    <w:p w14:paraId="770345E0" w14:textId="77777777" w:rsidR="00AF0680" w:rsidRDefault="00141CAE">
      <w:pPr>
        <w:pStyle w:val="Titre3"/>
      </w:pPr>
      <w:r>
        <w:t>Structuration de la donnée</w:t>
      </w:r>
    </w:p>
    <w:p w14:paraId="539C8F78" w14:textId="77777777" w:rsidR="00AF0680" w:rsidRDefault="00141CAE">
      <w:pPr>
        <w:spacing w:after="100"/>
      </w:pPr>
      <w:r>
        <w:rPr>
          <w:i/>
          <w:iCs/>
          <w:color w:val="595959"/>
          <w:sz w:val="20"/>
          <w:szCs w:val="20"/>
        </w:rPr>
        <w:t>▸ Justifier le choix de l'échelle (parcelle, bâti) et de la temporalité des données (périodes d'analyse retenues).</w:t>
      </w:r>
    </w:p>
    <w:p w14:paraId="3838DA6B" w14:textId="77777777" w:rsidR="00AF0680" w:rsidRDefault="00141CAE">
      <w:pPr>
        <w:spacing w:after="200"/>
      </w:pPr>
      <w:r>
        <w:t>Le choix de l'échelle de la donnée s'est porté sur [la parcelle / le bâtiment], car [justification : granularité nécessaire aux calculs d'indicateurs, cohérence avec les référentiels sources, facilité de croisement avec le parcellaire cadastral, etc.].</w:t>
      </w:r>
    </w:p>
    <w:p w14:paraId="781FFCF4" w14:textId="77777777" w:rsidR="00AF0680" w:rsidRDefault="00141CAE">
      <w:pPr>
        <w:spacing w:after="200"/>
      </w:pPr>
      <w:r>
        <w:lastRenderedPageBreak/>
        <w:t>La temporalité retenue pour les analyses est [préciser : millésime annuel, période glissante sur X années, référence au bilan PLU à 6 ans...], en cohérence avec les obligations réglementaires de suivi (bilan des PLU à 6 ans, rapport de suivi de l'artificialisation tous les 3 ans).</w:t>
      </w:r>
    </w:p>
    <w:p w14:paraId="7E3824C8"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schéma d'architecture fonctionnelle de l'observatoire (sources de données → traitements → couches produites → restitution/utilisateurs).</w:t>
      </w:r>
    </w:p>
    <w:p w14:paraId="4AE80E82" w14:textId="77777777" w:rsidR="00AF0680" w:rsidRDefault="00141CAE">
      <w:r>
        <w:br w:type="page"/>
      </w:r>
    </w:p>
    <w:p w14:paraId="438162D3" w14:textId="77777777" w:rsidR="00AF0680" w:rsidRDefault="00141CAE">
      <w:pPr>
        <w:pStyle w:val="Titre1"/>
      </w:pPr>
      <w:r>
        <w:lastRenderedPageBreak/>
        <w:t>2. Modélisation, conception et automatisation de l'observatoire</w:t>
      </w:r>
    </w:p>
    <w:p w14:paraId="55B90B13" w14:textId="77777777" w:rsidR="00AF0680" w:rsidRDefault="00141CAE">
      <w:pPr>
        <w:pStyle w:val="Titre2"/>
      </w:pPr>
      <w:r>
        <w:t>2.1 Modélisation des données de SCEP (Suivi Consommation et Planification)</w:t>
      </w:r>
    </w:p>
    <w:p w14:paraId="36EAAA40" w14:textId="77777777" w:rsidR="00AF0680" w:rsidRDefault="00141CAE">
      <w:pPr>
        <w:pStyle w:val="Titre3"/>
      </w:pPr>
      <w:r>
        <w:t>Suivi Consommation et Planification</w:t>
      </w:r>
    </w:p>
    <w:p w14:paraId="639224A0" w14:textId="77777777" w:rsidR="00AF0680" w:rsidRDefault="00141CAE">
      <w:pPr>
        <w:spacing w:after="100"/>
      </w:pPr>
      <w:r>
        <w:rPr>
          <w:i/>
          <w:iCs/>
          <w:color w:val="595959"/>
          <w:sz w:val="20"/>
          <w:szCs w:val="20"/>
        </w:rPr>
        <w:t>▸ Présenter la création de la base de données standardisée agrégeant les données de construction et de renouvellement urbain (habitat, équipement, activité économique).</w:t>
      </w:r>
    </w:p>
    <w:p w14:paraId="789403FC" w14:textId="77777777" w:rsidR="00AF0680" w:rsidRDefault="00141CAE">
      <w:pPr>
        <w:spacing w:after="200"/>
      </w:pPr>
      <w:r>
        <w:t>Afin de centraliser le suivi des évolutions foncières, une base de données standardisée — le SCEP (Suivi Consommation et Planification) — a été conçue. Elle agrège les données relatives à la construction et au renouvellement urbain, qu'il s'agisse de logements, d'équipements ou d'activités économiques, en s'appuyant sur les évolutions foncières identifiées (permis de construire/d'aménager, documents d'urbanisme).</w:t>
      </w:r>
    </w:p>
    <w:p w14:paraId="6169D008" w14:textId="77777777" w:rsidR="00AF0680" w:rsidRDefault="00141CAE">
      <w:pPr>
        <w:pStyle w:val="Titre3"/>
      </w:pPr>
      <w:r>
        <w:t>Le modèle de la base de données</w:t>
      </w:r>
    </w:p>
    <w:p w14:paraId="335EBBEB" w14:textId="77777777" w:rsidR="00AF0680" w:rsidRDefault="00141CAE">
      <w:pPr>
        <w:spacing w:after="100"/>
      </w:pPr>
      <w:r>
        <w:rPr>
          <w:i/>
          <w:iCs/>
          <w:color w:val="595959"/>
          <w:sz w:val="20"/>
          <w:szCs w:val="20"/>
        </w:rPr>
        <w:t>▸ Expliquer comment sont retranscrites les informations clés : géométrie du bâti, destination, typologie, et justifier le choix des variables retenues.</w:t>
      </w:r>
    </w:p>
    <w:p w14:paraId="545BE742" w14:textId="77777777" w:rsidR="00AF0680" w:rsidRDefault="00141CAE">
      <w:pPr>
        <w:spacing w:after="200"/>
      </w:pPr>
      <w:r>
        <w:t>Le modèle de données retenu vise à retranscrire, pour chaque évolution foncière identifiée : la géométrie du bâti (à la parcelle ou au bâtiment), sa destination (habitat, activité, équipement), sa typologie (forme urbaine produite), le type d'évolution (consommation ou densification ; extension, renouvellement urbain, division parcellaire ou changement de destination), la période de mobilisation, le nombre de logements et la surface mobilisée.</w:t>
      </w:r>
    </w:p>
    <w:p w14:paraId="64C3B45A" w14:textId="77777777" w:rsidR="00AF0680" w:rsidRDefault="00141CAE">
      <w:pPr>
        <w:spacing w:after="200"/>
      </w:pPr>
      <w:r>
        <w:t>Le choix de ces variables résulte d'un arbitrage entre [le niveau de détail souhaité par le service, la disponibilité effective de l'information dans les sources mobilisées (PC-PA, OCS-GE...), et la nécessité de pouvoir calculer les indicateurs définis en partie 1]. [Détailler les variables écartées et pourquoi].</w:t>
      </w:r>
    </w:p>
    <w:p w14:paraId="42EAD7AE"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schéma / dictionnaire de données du modèle SCEP (table des champs, types, sources) — un tableau structuré est recommandé ici.</w:t>
      </w:r>
    </w:p>
    <w:p w14:paraId="46611922" w14:textId="77777777" w:rsidR="00AF0680" w:rsidRDefault="00141CAE">
      <w:pPr>
        <w:pStyle w:val="Titre3"/>
      </w:pPr>
      <w:r>
        <w:t>Mise à jour de la donnée</w:t>
      </w:r>
    </w:p>
    <w:p w14:paraId="160E0EE9" w14:textId="77777777" w:rsidR="00AF0680" w:rsidRDefault="00141CAE">
      <w:pPr>
        <w:spacing w:after="100"/>
      </w:pPr>
      <w:r>
        <w:rPr>
          <w:i/>
          <w:iCs/>
          <w:color w:val="595959"/>
          <w:sz w:val="20"/>
          <w:szCs w:val="20"/>
        </w:rPr>
        <w:t>▸ Décrire le processus d'ajout d'une nouvelle parcelle bâtie, l'automatisation envisagée, et l'accessibilité de la mise à jour aux agents non-</w:t>
      </w:r>
      <w:proofErr w:type="spellStart"/>
      <w:r>
        <w:rPr>
          <w:i/>
          <w:iCs/>
          <w:color w:val="595959"/>
          <w:sz w:val="20"/>
          <w:szCs w:val="20"/>
        </w:rPr>
        <w:t>SIGistes</w:t>
      </w:r>
      <w:proofErr w:type="spellEnd"/>
      <w:r>
        <w:rPr>
          <w:i/>
          <w:iCs/>
          <w:color w:val="595959"/>
          <w:sz w:val="20"/>
          <w:szCs w:val="20"/>
        </w:rPr>
        <w:t xml:space="preserve"> (scripts).</w:t>
      </w:r>
    </w:p>
    <w:p w14:paraId="345EC727" w14:textId="77777777" w:rsidR="00AF0680" w:rsidRDefault="00141CAE">
      <w:pPr>
        <w:spacing w:after="200"/>
      </w:pPr>
      <w:r>
        <w:t xml:space="preserve">Pour garantir la pérennité de l'observatoire, un processus de mise à jour a été formalisé, permettant d'intégrer une nouvelle parcelle bâtie identifiée [via les permis de construire, la photo-interprétation, ou tout autre déclencheur]. Ce processus a été automatisé au moyen de [scripts Python / modèles ArcGIS </w:t>
      </w:r>
      <w:proofErr w:type="spellStart"/>
      <w:r>
        <w:t>ModelBuilder</w:t>
      </w:r>
      <w:proofErr w:type="spellEnd"/>
      <w:r>
        <w:t xml:space="preserve"> / autre outil], afin d'en limiter la charge manuelle et les risques d'erreur.</w:t>
      </w:r>
    </w:p>
    <w:p w14:paraId="330AFA16" w14:textId="77777777" w:rsidR="00AF0680" w:rsidRDefault="00141CAE">
      <w:pPr>
        <w:spacing w:after="200"/>
      </w:pPr>
      <w:r>
        <w:t>Une attention particulière a été portée à l'accessibilité de cette mise à jour pour des agents non-</w:t>
      </w:r>
      <w:proofErr w:type="spellStart"/>
      <w:r>
        <w:t>SIGistes</w:t>
      </w:r>
      <w:proofErr w:type="spellEnd"/>
      <w:r>
        <w:t xml:space="preserve"> : [décrire l'interface ou la procédure simplifiée mise en place — formulaire, script à double-clic, notice pas-à-pas, etc.].</w:t>
      </w:r>
    </w:p>
    <w:p w14:paraId="4728EC71" w14:textId="77777777" w:rsidR="00AF0680" w:rsidRDefault="00141CAE">
      <w:pPr>
        <w:pBdr>
          <w:top w:val="single" w:sz="4" w:space="0" w:color="70AD47"/>
          <w:left w:val="single" w:sz="4" w:space="0" w:color="70AD47"/>
          <w:bottom w:val="single" w:sz="4" w:space="0" w:color="70AD47"/>
          <w:right w:val="single" w:sz="4" w:space="0" w:color="70AD47"/>
        </w:pBdr>
        <w:shd w:val="clear" w:color="auto" w:fill="E2EFDA"/>
        <w:spacing w:before="120" w:after="240"/>
      </w:pPr>
      <w:r>
        <w:rPr>
          <w:i/>
          <w:iCs/>
          <w:sz w:val="20"/>
          <w:szCs w:val="20"/>
        </w:rPr>
        <w:t>📝 Conseil rédaction : Décrire ici le script sous forme d'organigramme (inputs → traitements → outputs) plutôt que de coller de longs extraits de code ; le code détaillé peut être renvoyé en annexe.</w:t>
      </w:r>
    </w:p>
    <w:p w14:paraId="08038BB6"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organigramme du processus de mise à jour automatisé de la couche « évolutions foncières</w:t>
      </w:r>
      <w:proofErr w:type="gramStart"/>
      <w:r>
        <w:rPr>
          <w:i/>
          <w:iCs/>
          <w:sz w:val="20"/>
          <w:szCs w:val="20"/>
        </w:rPr>
        <w:t xml:space="preserve"> »/</w:t>
      </w:r>
      <w:proofErr w:type="gramEnd"/>
      <w:r>
        <w:rPr>
          <w:i/>
          <w:iCs/>
          <w:sz w:val="20"/>
          <w:szCs w:val="20"/>
        </w:rPr>
        <w:t>SCEP.</w:t>
      </w:r>
    </w:p>
    <w:p w14:paraId="0B1384BC" w14:textId="77777777" w:rsidR="00AF0680" w:rsidRDefault="00141CAE">
      <w:pPr>
        <w:pStyle w:val="Titre2"/>
      </w:pPr>
      <w:r>
        <w:t>2.2 Le potentiel de densification et les potentiels fonciers</w:t>
      </w:r>
    </w:p>
    <w:p w14:paraId="06D7DBF2" w14:textId="77777777" w:rsidR="00AF0680" w:rsidRDefault="00141CAE">
      <w:pPr>
        <w:pStyle w:val="Titre3"/>
      </w:pPr>
      <w:r>
        <w:lastRenderedPageBreak/>
        <w:t>Identification des potentiels</w:t>
      </w:r>
    </w:p>
    <w:p w14:paraId="221D7682" w14:textId="77777777" w:rsidR="00AF0680" w:rsidRDefault="00141CAE">
      <w:pPr>
        <w:spacing w:after="100"/>
      </w:pPr>
      <w:r>
        <w:rPr>
          <w:i/>
          <w:iCs/>
          <w:color w:val="595959"/>
          <w:sz w:val="20"/>
          <w:szCs w:val="20"/>
        </w:rPr>
        <w:t>▸ Décrire la méthode à partir de MeDispo (méthode AUAT) recroisée avec les documents d'urbanisme (zonage PLU : U, AU, AU0).</w:t>
      </w:r>
    </w:p>
    <w:p w14:paraId="5F58176A" w14:textId="77777777" w:rsidR="00AF0680" w:rsidRDefault="00141CAE">
      <w:pPr>
        <w:spacing w:after="200"/>
      </w:pPr>
      <w:r>
        <w:t>L'identification des potentiels fonciers s'appuie sur la base MeDispo, en reprenant la méthode développée par l'AUAT (cf. état de l'art, 1.2), recroisée avec le zonage des documents d'urbanisme en vigueur (zones U, AU, AU0). Cette approche permet de distinguer [potentiel de densification en zone urbaine (U) / potentiel d'extension en zone à urbaniser (AU, AU0)].</w:t>
      </w:r>
    </w:p>
    <w:p w14:paraId="51873491" w14:textId="77777777" w:rsidR="00AF0680" w:rsidRDefault="00141CAE">
      <w:pPr>
        <w:spacing w:after="200"/>
      </w:pPr>
      <w:r>
        <w:t>Concrètement, la méthode consiste à [détailler les étapes : sélection des parcelles selon des critères de mutabilité et de taille, exclusion des parcelles contraintes (SUP, risques, zones protégées...), croisement avec le zonage PLU, calcul du nombre de logements potentiels selon une densité de référence].</w:t>
      </w:r>
    </w:p>
    <w:p w14:paraId="4AF89091"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carte des potentiels fonciers identifiés sur </w:t>
      </w:r>
      <w:proofErr w:type="gramStart"/>
      <w:r>
        <w:rPr>
          <w:i/>
          <w:iCs/>
          <w:sz w:val="20"/>
          <w:szCs w:val="20"/>
        </w:rPr>
        <w:t>une commune test</w:t>
      </w:r>
      <w:proofErr w:type="gramEnd"/>
      <w:r>
        <w:rPr>
          <w:i/>
          <w:iCs/>
          <w:sz w:val="20"/>
          <w:szCs w:val="20"/>
        </w:rPr>
        <w:t xml:space="preserve"> (zones U et AU, avec distinction densification/extension).</w:t>
      </w:r>
    </w:p>
    <w:p w14:paraId="3CCEE81D" w14:textId="77777777" w:rsidR="00AF0680" w:rsidRDefault="00141CAE">
      <w:pPr>
        <w:pStyle w:val="Titre3"/>
      </w:pPr>
      <w:r>
        <w:t>Intégration des potentiels à l'observatoire</w:t>
      </w:r>
    </w:p>
    <w:p w14:paraId="68AB676A" w14:textId="77777777" w:rsidR="00AF0680" w:rsidRDefault="00141CAE">
      <w:pPr>
        <w:spacing w:after="100"/>
      </w:pPr>
      <w:r>
        <w:rPr>
          <w:i/>
          <w:iCs/>
          <w:color w:val="595959"/>
          <w:sz w:val="20"/>
          <w:szCs w:val="20"/>
        </w:rPr>
        <w:t>▸ Expliquer le calcul des potentiels de densification par commune et discuter de l'usage stratégique/sensible de cette donnée (accès restreint, communication encadrée).</w:t>
      </w:r>
    </w:p>
    <w:p w14:paraId="12AB4745" w14:textId="77777777" w:rsidR="00AF0680" w:rsidRDefault="00141CAE">
      <w:pPr>
        <w:spacing w:after="200"/>
      </w:pPr>
      <w:r>
        <w:t>Les potentiels ainsi identifiés sont agrégés par commune afin d'alimenter l'observatoire et de nourrir les indicateurs de suivi du PLH et du SCOT. [Détailler le mode de calcul : somme des surfaces/nombre de logements potentiels par commune, pondération éventuelle par un taux de rétention foncière, etc.].</w:t>
      </w:r>
    </w:p>
    <w:p w14:paraId="4FD9DBE9" w14:textId="77777777" w:rsidR="00AF0680" w:rsidRDefault="00141CAE">
      <w:pPr>
        <w:spacing w:after="200"/>
      </w:pPr>
      <w:r>
        <w:t>Cette donnée revêt un caractère sensible dans la mesure où elle identifie nommément des parcelles mobilisables, avec un usage à visée stratégique pour la collectivité. Son utilisation a donc été encadrée : [préciser les règles d'accès définies — usage interne réservé aux chargés de mission, niveau d'agrégation différent pour une diffusion aux élus ou au public, etc.].</w:t>
      </w:r>
    </w:p>
    <w:p w14:paraId="73D65C2C"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tableau ou graphique de synthèse des potentiels de densification par commune (nombre de logements potentiels, surface mobilisable).</w:t>
      </w:r>
    </w:p>
    <w:p w14:paraId="019AFEB9" w14:textId="77777777" w:rsidR="00AF0680" w:rsidRDefault="00141CAE">
      <w:r>
        <w:br w:type="page"/>
      </w:r>
    </w:p>
    <w:p w14:paraId="322AA0B3" w14:textId="77777777" w:rsidR="00AF0680" w:rsidRDefault="00141CAE">
      <w:pPr>
        <w:pStyle w:val="Titre1"/>
      </w:pPr>
      <w:r>
        <w:lastRenderedPageBreak/>
        <w:t>3. Développement de l'interface d'exploitation et transfert de compétences</w:t>
      </w:r>
    </w:p>
    <w:p w14:paraId="2863D44A" w14:textId="77777777" w:rsidR="00AF0680" w:rsidRDefault="00141CAE">
      <w:pPr>
        <w:pStyle w:val="Titre2"/>
      </w:pPr>
      <w:r>
        <w:t>3.1 Conception du tableau de bord interactif et des supports de restitution cartographique</w:t>
      </w:r>
    </w:p>
    <w:p w14:paraId="18D3D105" w14:textId="77777777" w:rsidR="00AF0680" w:rsidRDefault="00141CAE">
      <w:pPr>
        <w:pStyle w:val="Titre3"/>
      </w:pPr>
      <w:r>
        <w:t xml:space="preserve">Développement du </w:t>
      </w:r>
      <w:proofErr w:type="spellStart"/>
      <w:r>
        <w:t>dashboard</w:t>
      </w:r>
      <w:proofErr w:type="spellEnd"/>
    </w:p>
    <w:p w14:paraId="11067C81" w14:textId="77777777" w:rsidR="00AF0680" w:rsidRDefault="00141CAE">
      <w:pPr>
        <w:spacing w:after="100"/>
      </w:pPr>
      <w:r>
        <w:rPr>
          <w:i/>
          <w:iCs/>
          <w:color w:val="595959"/>
          <w:sz w:val="20"/>
          <w:szCs w:val="20"/>
        </w:rPr>
        <w:t>▸ Présenter le tableau de bord (HTML/CSS/JS, Leaflet) : fonctionnalités, structure, choix techniques.</w:t>
      </w:r>
    </w:p>
    <w:p w14:paraId="40E32E3A" w14:textId="77777777" w:rsidR="00AF0680" w:rsidRDefault="00141CAE">
      <w:pPr>
        <w:spacing w:after="200"/>
      </w:pPr>
      <w:r>
        <w:t xml:space="preserve">Pour permettre une consultation interactive des indicateurs par les agents du service, un tableau de bord a été développé en [HTML/CSS/JavaScript, s'appuyant sur la bibliothèque cartographique Leaflet]. Ce </w:t>
      </w:r>
      <w:proofErr w:type="spellStart"/>
      <w:r>
        <w:t>dashboard</w:t>
      </w:r>
      <w:proofErr w:type="spellEnd"/>
      <w:r>
        <w:t xml:space="preserve"> permet de [lister les fonctionnalités : filtrer par commune, afficher les indicateurs de consommation foncière et de production de logements, visualiser les potentiels fonciers, exporter les données...].</w:t>
      </w:r>
    </w:p>
    <w:p w14:paraId="66714298" w14:textId="77777777" w:rsidR="00AF0680" w:rsidRDefault="00141CAE">
      <w:pPr>
        <w:spacing w:after="200"/>
      </w:pPr>
      <w:r>
        <w:t xml:space="preserve">Le choix de cette solution technique repose sur [légèreté de la solution, absence de dépendance à une licence propriétaire, facilité d'hébergement sur les serveurs internes, prise en main simplifiée pour une évolution future par le service]. [Décrire l'architecture technique : structure des fichiers, sources de données consommées (services ArcGIS, fichiers </w:t>
      </w:r>
      <w:proofErr w:type="spellStart"/>
      <w:r>
        <w:t>GeoJSON</w:t>
      </w:r>
      <w:proofErr w:type="spellEnd"/>
      <w:r>
        <w:t>...), etc.].</w:t>
      </w:r>
    </w:p>
    <w:p w14:paraId="2214A95F"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captures d'écran du tableau de bord (vue d'ensemble, filtre par commune, fiche indicateur).</w:t>
      </w:r>
    </w:p>
    <w:p w14:paraId="0DB2676C"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schéma d'architecture technique du </w:t>
      </w:r>
      <w:proofErr w:type="spellStart"/>
      <w:r>
        <w:rPr>
          <w:i/>
          <w:iCs/>
          <w:sz w:val="20"/>
          <w:szCs w:val="20"/>
        </w:rPr>
        <w:t>dashboard</w:t>
      </w:r>
      <w:proofErr w:type="spellEnd"/>
      <w:r>
        <w:rPr>
          <w:i/>
          <w:iCs/>
          <w:sz w:val="20"/>
          <w:szCs w:val="20"/>
        </w:rPr>
        <w:t xml:space="preserve"> (source de données → </w:t>
      </w:r>
      <w:proofErr w:type="spellStart"/>
      <w:r>
        <w:rPr>
          <w:i/>
          <w:iCs/>
          <w:sz w:val="20"/>
          <w:szCs w:val="20"/>
        </w:rPr>
        <w:t>back-end</w:t>
      </w:r>
      <w:proofErr w:type="spellEnd"/>
      <w:r>
        <w:rPr>
          <w:i/>
          <w:iCs/>
          <w:sz w:val="20"/>
          <w:szCs w:val="20"/>
        </w:rPr>
        <w:t xml:space="preserve">/API → </w:t>
      </w:r>
      <w:proofErr w:type="spellStart"/>
      <w:r>
        <w:rPr>
          <w:i/>
          <w:iCs/>
          <w:sz w:val="20"/>
          <w:szCs w:val="20"/>
        </w:rPr>
        <w:t>front-end</w:t>
      </w:r>
      <w:proofErr w:type="spellEnd"/>
      <w:r>
        <w:rPr>
          <w:i/>
          <w:iCs/>
          <w:sz w:val="20"/>
          <w:szCs w:val="20"/>
        </w:rPr>
        <w:t xml:space="preserve"> Leaflet).</w:t>
      </w:r>
    </w:p>
    <w:p w14:paraId="10365FC5" w14:textId="77777777" w:rsidR="00AF0680" w:rsidRDefault="00141CAE">
      <w:pPr>
        <w:pStyle w:val="Titre3"/>
      </w:pPr>
      <w:r>
        <w:t>Automatisation des modèles d'export</w:t>
      </w:r>
    </w:p>
    <w:p w14:paraId="1104D1A0" w14:textId="77777777" w:rsidR="00AF0680" w:rsidRDefault="00141CAE">
      <w:pPr>
        <w:spacing w:after="100"/>
      </w:pPr>
      <w:r>
        <w:rPr>
          <w:i/>
          <w:iCs/>
          <w:color w:val="595959"/>
          <w:sz w:val="20"/>
          <w:szCs w:val="20"/>
        </w:rPr>
        <w:t xml:space="preserve">▸ Décrire la production automatisée de « packs </w:t>
      </w:r>
      <w:proofErr w:type="spellStart"/>
      <w:r>
        <w:rPr>
          <w:i/>
          <w:iCs/>
          <w:color w:val="595959"/>
          <w:sz w:val="20"/>
          <w:szCs w:val="20"/>
        </w:rPr>
        <w:t>carto</w:t>
      </w:r>
      <w:proofErr w:type="spellEnd"/>
      <w:r>
        <w:rPr>
          <w:i/>
          <w:iCs/>
          <w:color w:val="595959"/>
          <w:sz w:val="20"/>
          <w:szCs w:val="20"/>
        </w:rPr>
        <w:t xml:space="preserve"> » thématiques par commune.</w:t>
      </w:r>
    </w:p>
    <w:p w14:paraId="00EA9E6D" w14:textId="77777777" w:rsidR="00AF0680" w:rsidRDefault="00141CAE">
      <w:pPr>
        <w:spacing w:after="200"/>
      </w:pPr>
      <w:r>
        <w:t xml:space="preserve">En complément du </w:t>
      </w:r>
      <w:proofErr w:type="spellStart"/>
      <w:r>
        <w:t>dashboard</w:t>
      </w:r>
      <w:proofErr w:type="spellEnd"/>
      <w:r>
        <w:t xml:space="preserve">, un processus d'automatisation des exports cartographiques a été mis en place, permettant de générer un « pack </w:t>
      </w:r>
      <w:proofErr w:type="spellStart"/>
      <w:r>
        <w:t>carto</w:t>
      </w:r>
      <w:proofErr w:type="spellEnd"/>
      <w:r>
        <w:t xml:space="preserve"> » thématique par commune [format : PDF, mise en page ArcGIS </w:t>
      </w:r>
      <w:proofErr w:type="spellStart"/>
      <w:r>
        <w:t>Layout</w:t>
      </w:r>
      <w:proofErr w:type="spellEnd"/>
      <w:r>
        <w:t>, script Python...]. Ce pack comprend [lister le contenu type : carte de synthèse des potentiels, tableau des indicateurs clés, carte de consommation foncière, etc.], et vise à faciliter la diffusion des résultats auprès des communes membres.</w:t>
      </w:r>
    </w:p>
    <w:p w14:paraId="43CC7106"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exemple de pack </w:t>
      </w:r>
      <w:proofErr w:type="spellStart"/>
      <w:r>
        <w:rPr>
          <w:i/>
          <w:iCs/>
          <w:sz w:val="20"/>
          <w:szCs w:val="20"/>
        </w:rPr>
        <w:t>carto</w:t>
      </w:r>
      <w:proofErr w:type="spellEnd"/>
      <w:r>
        <w:rPr>
          <w:i/>
          <w:iCs/>
          <w:sz w:val="20"/>
          <w:szCs w:val="20"/>
        </w:rPr>
        <w:t xml:space="preserve"> généré automatiquement pour une commune (mise en page complète ou extrait).</w:t>
      </w:r>
    </w:p>
    <w:p w14:paraId="1518BA37" w14:textId="77777777" w:rsidR="00AF0680" w:rsidRDefault="00141CAE">
      <w:pPr>
        <w:pStyle w:val="Titre2"/>
      </w:pPr>
      <w:r>
        <w:t>3.2 Structuration du guide méthodologique et accompagnement à la reprise de l'outil</w:t>
      </w:r>
    </w:p>
    <w:p w14:paraId="70AC9669" w14:textId="77777777" w:rsidR="00AF0680" w:rsidRDefault="00141CAE">
      <w:pPr>
        <w:pStyle w:val="Titre3"/>
      </w:pPr>
      <w:r>
        <w:t>Écriture des protocoles et modes d'emploi</w:t>
      </w:r>
    </w:p>
    <w:p w14:paraId="28133075" w14:textId="77777777" w:rsidR="00AF0680" w:rsidRDefault="00141CAE">
      <w:pPr>
        <w:spacing w:after="100"/>
      </w:pPr>
      <w:r>
        <w:rPr>
          <w:i/>
          <w:iCs/>
          <w:color w:val="595959"/>
          <w:sz w:val="20"/>
          <w:szCs w:val="20"/>
        </w:rPr>
        <w:t>▸ Décrire la rédaction des protocoles pas-à-pas à destination des agents (mise à jour des données, exécution des scripts).</w:t>
      </w:r>
    </w:p>
    <w:p w14:paraId="0336CB27" w14:textId="77777777" w:rsidR="00AF0680" w:rsidRDefault="00141CAE">
      <w:pPr>
        <w:spacing w:after="200"/>
      </w:pPr>
      <w:r>
        <w:t>Pour assurer la pérennité de l'outil au-delà du stage, un guide méthodologique a été rédigé, détaillant pas à pas les procédures de mise à jour des données (évolutions foncières, MeDispo, OCS-GE) et d'exécution des scripts d'automatisation. Ce guide s'adresse en priorité à des agents non-</w:t>
      </w:r>
      <w:proofErr w:type="spellStart"/>
      <w:r>
        <w:t>SIGistes</w:t>
      </w:r>
      <w:proofErr w:type="spellEnd"/>
      <w:r>
        <w:t xml:space="preserve"> et a donc été conçu pour être [accessible, illustré de captures d'écran, sans prérequis technique avancé].</w:t>
      </w:r>
    </w:p>
    <w:p w14:paraId="681C580E" w14:textId="77777777" w:rsidR="00AF0680" w:rsidRDefault="00141CAE">
      <w:pPr>
        <w:pStyle w:val="Titre3"/>
      </w:pPr>
      <w:r>
        <w:t>Modalités de passation et pérennisation</w:t>
      </w:r>
    </w:p>
    <w:p w14:paraId="226AF678" w14:textId="77777777" w:rsidR="00AF0680" w:rsidRDefault="00141CAE">
      <w:pPr>
        <w:spacing w:after="100"/>
      </w:pPr>
      <w:r>
        <w:rPr>
          <w:i/>
          <w:iCs/>
          <w:color w:val="595959"/>
          <w:sz w:val="20"/>
          <w:szCs w:val="20"/>
        </w:rPr>
        <w:lastRenderedPageBreak/>
        <w:t>▸ Décrire les actions de sensibilisation/formation des utilisateurs non-</w:t>
      </w:r>
      <w:proofErr w:type="spellStart"/>
      <w:r>
        <w:rPr>
          <w:i/>
          <w:iCs/>
          <w:color w:val="595959"/>
          <w:sz w:val="20"/>
          <w:szCs w:val="20"/>
        </w:rPr>
        <w:t>SIGistes</w:t>
      </w:r>
      <w:proofErr w:type="spellEnd"/>
      <w:r>
        <w:rPr>
          <w:i/>
          <w:iCs/>
          <w:color w:val="595959"/>
          <w:sz w:val="20"/>
          <w:szCs w:val="20"/>
        </w:rPr>
        <w:t xml:space="preserve"> et les modalités de pérennisation de la S.A.S.</w:t>
      </w:r>
    </w:p>
    <w:p w14:paraId="7C7E1ADA" w14:textId="77777777" w:rsidR="00AF0680" w:rsidRDefault="00141CAE">
      <w:pPr>
        <w:spacing w:after="200"/>
      </w:pPr>
      <w:r>
        <w:t>La passation de l'outil s'est accompagnée d'une sensibilisation des utilisateurs non-</w:t>
      </w:r>
      <w:proofErr w:type="spellStart"/>
      <w:r>
        <w:t>SIGistes</w:t>
      </w:r>
      <w:proofErr w:type="spellEnd"/>
      <w:r>
        <w:t xml:space="preserve"> du service, sous la forme de [réunions de présentation, ateliers pratiques, tutoriels vidéo...]. Ces temps d'échange ont permis de [recueillir les retours des utilisateurs, ajuster l'ergonomie de l'outil, identifier les besoins de formation complémentaires].</w:t>
      </w:r>
    </w:p>
    <w:p w14:paraId="0CD9256B" w14:textId="77777777" w:rsidR="00AF0680" w:rsidRDefault="00141CAE">
      <w:pPr>
        <w:spacing w:after="200"/>
      </w:pPr>
      <w:r>
        <w:t>Enfin, plusieurs pistes ont été définies pour assurer la pérennisation de la Solution d'Analyse Spatiale au-delà du stage : [désignation d'un référent en interne, calendrier de mise à jour des données, procédure de maintenance évolutive de l'outil].</w:t>
      </w:r>
    </w:p>
    <w:p w14:paraId="017D360B" w14:textId="77777777"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r>
        <w:rPr>
          <w:i/>
          <w:iCs/>
          <w:sz w:val="20"/>
          <w:szCs w:val="20"/>
        </w:rPr>
        <w:t>🖼  Illustration suggérée : photo ou capture d'un atelier de formation / extrait du guide méthodologique (sommaire ou page type).</w:t>
      </w:r>
    </w:p>
    <w:p w14:paraId="3B8EF201" w14:textId="77777777" w:rsidR="00AF0680" w:rsidRDefault="00141CAE">
      <w:r>
        <w:br w:type="page"/>
      </w:r>
    </w:p>
    <w:p w14:paraId="75E6D811" w14:textId="77777777" w:rsidR="00AF0680" w:rsidRDefault="00141CAE">
      <w:pPr>
        <w:pStyle w:val="Titre1"/>
      </w:pPr>
      <w:r>
        <w:lastRenderedPageBreak/>
        <w:t>Discussion des résultats</w:t>
      </w:r>
    </w:p>
    <w:p w14:paraId="33FC0953" w14:textId="77777777" w:rsidR="00AF0680" w:rsidRDefault="00141CAE">
      <w:pPr>
        <w:spacing w:after="100"/>
      </w:pPr>
      <w:r>
        <w:rPr>
          <w:i/>
          <w:iCs/>
          <w:color w:val="595959"/>
          <w:sz w:val="20"/>
          <w:szCs w:val="20"/>
        </w:rPr>
        <w:t>▸ Rappeler que cette partie doit permettre d'apprécier si la démarche et la méthode sont utilisables, généralisables — ni un simple résumé, ni une nouvelle partie de résultats.</w:t>
      </w:r>
    </w:p>
    <w:p w14:paraId="66FE8673" w14:textId="77777777" w:rsidR="00AF0680" w:rsidRDefault="00141CAE">
      <w:pPr>
        <w:pStyle w:val="Titre2"/>
      </w:pPr>
      <w:r>
        <w:t>Portée et limites des données sources</w:t>
      </w:r>
    </w:p>
    <w:p w14:paraId="4D78C6B0" w14:textId="77777777" w:rsidR="00AF0680" w:rsidRDefault="00141CAE">
      <w:pPr>
        <w:spacing w:after="200"/>
      </w:pPr>
      <w:r>
        <w:t>Les résultats produits reposent sur des référentiels dont la qualité et la fraîcheur sont variables. L'OCS-GE présente [des millésimes espacés dans le temps / une précision géométrique parfois insuffisante à l'échelle parcellaire]. MeDispo comporte [des approximations sur la précision géométrique des disponibilités foncières identifiées]. Les fichiers fonciers et les données de DPE présentent quant à eux [des limites de complétude ou de fraîcheur]. [Développer chaque point avec des exemples concrets rencontrés durant le stage].</w:t>
      </w:r>
    </w:p>
    <w:p w14:paraId="2D6B30C5" w14:textId="77777777" w:rsidR="00AF0680" w:rsidRDefault="00141CAE">
      <w:pPr>
        <w:pStyle w:val="Titre2"/>
      </w:pPr>
      <w:r>
        <w:t>Évaluation des automatisations</w:t>
      </w:r>
    </w:p>
    <w:p w14:paraId="043ABF73" w14:textId="77777777" w:rsidR="00AF0680" w:rsidRDefault="00141CAE">
      <w:pPr>
        <w:spacing w:after="200"/>
      </w:pPr>
      <w:r>
        <w:t>La robustesse des scripts développés a été testée sur [préciser : plusieurs communes, plusieurs millésimes de données]. Le processus s'est révélé [robuste / perfectible sur tel ou tel point], avec une dépendance vis-à-vis des données externes qui reste [à surveiller à chaque mise à jour, notamment en cas de changement de structure des fichiers sources fournis par l'AUAT, l'IGN ou les services de l'État].</w:t>
      </w:r>
    </w:p>
    <w:p w14:paraId="5CCF5600" w14:textId="77777777" w:rsidR="00AF0680" w:rsidRDefault="00141CAE">
      <w:pPr>
        <w:pStyle w:val="Titre2"/>
      </w:pPr>
      <w:r>
        <w:t>Appréciation opérationnelle de la méthode</w:t>
      </w:r>
    </w:p>
    <w:p w14:paraId="192312D2" w14:textId="77777777" w:rsidR="00AF0680" w:rsidRDefault="00141CAE">
      <w:pPr>
        <w:spacing w:after="200"/>
      </w:pPr>
      <w:r>
        <w:t>Sur le plan opérationnel, la méthode développée apparaît [reproductible d'une commune à l'autre / transposable à une échelle de PLU intercommunal]. Le niveau d'acceptabilité de ces indicateurs par les agents du service a été évalué au travers de [retours recueillis lors des ateliers de passation]. Les principaux points soulevés concernent [l'utilité perçue de l'outil, sa fiabilité, sa facilité de prise en main]. [Conclure en pointant les axes de vigilance identifiés].</w:t>
      </w:r>
    </w:p>
    <w:p w14:paraId="7195CD70" w14:textId="77777777" w:rsidR="00AF0680" w:rsidRDefault="00141CAE">
      <w:r>
        <w:br w:type="page"/>
      </w:r>
    </w:p>
    <w:p w14:paraId="1AF74903" w14:textId="77777777" w:rsidR="00AF0680" w:rsidRDefault="00141CAE">
      <w:pPr>
        <w:pStyle w:val="Titre1"/>
      </w:pPr>
      <w:r>
        <w:lastRenderedPageBreak/>
        <w:t>Conclusion</w:t>
      </w:r>
    </w:p>
    <w:p w14:paraId="1BB8AD5E" w14:textId="77777777" w:rsidR="00AF0680" w:rsidRDefault="00141CAE">
      <w:pPr>
        <w:pStyle w:val="Titre2"/>
      </w:pPr>
      <w:r>
        <w:t>Bilan du travail accompli</w:t>
      </w:r>
    </w:p>
    <w:p w14:paraId="16DFA83F" w14:textId="77777777" w:rsidR="00AF0680" w:rsidRDefault="00141CAE">
      <w:pPr>
        <w:spacing w:after="100"/>
      </w:pPr>
      <w:r>
        <w:rPr>
          <w:i/>
          <w:iCs/>
          <w:color w:val="595959"/>
          <w:sz w:val="20"/>
          <w:szCs w:val="20"/>
        </w:rPr>
        <w:t>▸ Synthétiser les livrables géomatiques produits (outil S.A.S., couches automatisées, chaînes de traitement) et les mettre en regard des besoins initiaux du service.</w:t>
      </w:r>
    </w:p>
    <w:p w14:paraId="1D463C1A" w14:textId="77777777" w:rsidR="00AF0680" w:rsidRDefault="00141CAE">
      <w:pPr>
        <w:spacing w:after="200"/>
      </w:pPr>
      <w:r>
        <w:t xml:space="preserve">Ce stage a permis de répondre à la commande initiale du Service Urbanisme &amp; Habitat en produisant plusieurs livrables géomatiques concrets : [lister — la Solution d'Analyse Spatiale (S.A.S.) elle-même, la base de données SCEP standardisée, les couches d'évolutions foncières et de potentiels fonciers automatisées, le tableau de bord interactif, les packs </w:t>
      </w:r>
      <w:proofErr w:type="spellStart"/>
      <w:r>
        <w:t>carto</w:t>
      </w:r>
      <w:proofErr w:type="spellEnd"/>
      <w:r>
        <w:t xml:space="preserve"> par commune, le guide méthodologique]. Ces livrables répondent directement à la problématique posée en introduction, en dotant le service d'un outil d'automatisation de la production d'indicateurs fonciers et de suivi de l'urbanisation.</w:t>
      </w:r>
    </w:p>
    <w:p w14:paraId="2A7C624D" w14:textId="77777777" w:rsidR="00AF0680" w:rsidRDefault="00141CAE">
      <w:pPr>
        <w:pStyle w:val="Titre2"/>
      </w:pPr>
      <w:r>
        <w:t>Pistes d'amélioration et perspectives</w:t>
      </w:r>
    </w:p>
    <w:p w14:paraId="00D3E7F0" w14:textId="77777777" w:rsidR="00AF0680" w:rsidRDefault="00141CAE">
      <w:pPr>
        <w:spacing w:after="100"/>
      </w:pPr>
      <w:r>
        <w:rPr>
          <w:i/>
          <w:iCs/>
          <w:color w:val="595959"/>
          <w:sz w:val="20"/>
          <w:szCs w:val="20"/>
        </w:rPr>
        <w:t>▸ Ouvrir sur les suites possibles : mise à jour continue de la donnée, amélioration de la précision, ajout de nouvelles données, accessibilité, adaptation à l'environnement ArcGIS du Sicoval.</w:t>
      </w:r>
    </w:p>
    <w:p w14:paraId="5C758BFF" w14:textId="77777777" w:rsidR="00AF0680" w:rsidRDefault="00141CAE">
      <w:pPr>
        <w:spacing w:after="200"/>
      </w:pPr>
      <w:r>
        <w:t>Plusieurs pistes d'amélioration se dégagent de ce travail : [la fiabilisation et l'automatisation complète des mises à jour de données, l'amélioration de la précision de certaines couches (DVF, DPE...), l'intégration de nouvelles thématiques (biodiversité, mobilités, agriculture) pour aller vers une véritable Solution d'Analyse Spatiale transversale, l'amélioration de l'accessibilité de l'outil pour les élus, ou encore une adaptation plus poussée aux outils SIG natifs du Sicoval (environnement ArcGIS)].</w:t>
      </w:r>
    </w:p>
    <w:p w14:paraId="24889D1E" w14:textId="77777777" w:rsidR="00AF0680" w:rsidRDefault="00141CAE">
      <w:pPr>
        <w:spacing w:after="200"/>
      </w:pPr>
      <w:r>
        <w:t>[Terminer sur une phrase d'ouverture plus large : en quoi ce travail contribue-t-il à la stratégie foncière et d'aménagement du Sicoval sur le moyen terme ?]</w:t>
      </w:r>
    </w:p>
    <w:p w14:paraId="280040EC" w14:textId="77777777" w:rsidR="00AF0680" w:rsidRDefault="00141CAE">
      <w:r>
        <w:br w:type="page"/>
      </w:r>
    </w:p>
    <w:p w14:paraId="2CC759FA" w14:textId="77777777" w:rsidR="00AF0680" w:rsidRDefault="00141CAE">
      <w:pPr>
        <w:pStyle w:val="Titre1"/>
      </w:pPr>
      <w:r>
        <w:lastRenderedPageBreak/>
        <w:t>Références bibliographiques et webographie</w:t>
      </w:r>
    </w:p>
    <w:p w14:paraId="76D3A728" w14:textId="77777777" w:rsidR="00AF0680" w:rsidRDefault="00141CAE">
      <w:pPr>
        <w:spacing w:after="100"/>
      </w:pPr>
      <w:r>
        <w:rPr>
          <w:i/>
          <w:iCs/>
          <w:color w:val="595959"/>
          <w:sz w:val="20"/>
          <w:szCs w:val="20"/>
        </w:rPr>
        <w:t>▸ Respecter une norme de citation homogène (ex. norme APA ou ISO 690) sur tout le document.</w:t>
      </w:r>
    </w:p>
    <w:p w14:paraId="30C0937B" w14:textId="77777777" w:rsidR="00AF0680" w:rsidRDefault="00141CAE">
      <w:pPr>
        <w:spacing w:after="200"/>
      </w:pPr>
      <w:r>
        <w:t>[Nom, Prénom (année). Titre. Éditeur/Revue.]</w:t>
      </w:r>
    </w:p>
    <w:p w14:paraId="66E6A987" w14:textId="77777777" w:rsidR="00AF0680" w:rsidRDefault="00141CAE">
      <w:pPr>
        <w:spacing w:after="200"/>
      </w:pPr>
      <w:r>
        <w:t>[Reprendre ici toutes les sources citées dans le rapport : textes réglementaires (Code de l'urbanisme, loi Climat et Résilience...), documents SCOT/PLH/PLU, rapports AUAT, documentation technique OCS-GE/MeDispo, ressources SIG mobilisées.]</w:t>
      </w:r>
    </w:p>
    <w:p w14:paraId="3A0283B3" w14:textId="77777777" w:rsidR="00AF0680" w:rsidRDefault="00141CAE">
      <w:r>
        <w:br w:type="page"/>
      </w:r>
    </w:p>
    <w:p w14:paraId="0D8333D6" w14:textId="77777777" w:rsidR="00AF0680" w:rsidRDefault="00141CAE">
      <w:pPr>
        <w:pStyle w:val="Titre1"/>
      </w:pPr>
      <w:r>
        <w:lastRenderedPageBreak/>
        <w:t>Glossaire</w:t>
      </w:r>
    </w:p>
    <w:p w14:paraId="7D6848FE" w14:textId="77777777" w:rsidR="00AF0680" w:rsidRDefault="00141CAE">
      <w:pPr>
        <w:spacing w:after="100"/>
      </w:pPr>
      <w:r>
        <w:rPr>
          <w:i/>
          <w:iCs/>
          <w:color w:val="595959"/>
          <w:sz w:val="20"/>
          <w:szCs w:val="20"/>
        </w:rPr>
        <w:t>▸ Lister les sigles et notions techniques utilisés dans le rapport (ex. : SAS, SCOT, PLU, PLH, ZAN, ENAF, OCS-GE, SUP, DVF, DPE, ONB...).</w:t>
      </w:r>
    </w:p>
    <w:p w14:paraId="24C53794" w14:textId="77777777" w:rsidR="00AF0680" w:rsidRDefault="00141CAE">
      <w:pPr>
        <w:spacing w:after="200"/>
      </w:pPr>
      <w:r>
        <w:t>SAS — Solution d'Analyse Spatiale.</w:t>
      </w:r>
    </w:p>
    <w:p w14:paraId="3CF1F39F" w14:textId="77777777" w:rsidR="00AF0680" w:rsidRDefault="00141CAE">
      <w:pPr>
        <w:spacing w:after="200"/>
      </w:pPr>
      <w:r>
        <w:t>SCOT — Schéma de Cohérence Territoriale.</w:t>
      </w:r>
    </w:p>
    <w:p w14:paraId="291BDFD9" w14:textId="77777777" w:rsidR="00AF0680" w:rsidRDefault="00141CAE">
      <w:pPr>
        <w:spacing w:after="200"/>
      </w:pPr>
      <w:r>
        <w:t>PLU(i) — Plan Local d'Urbanisme (intercommunal).</w:t>
      </w:r>
    </w:p>
    <w:p w14:paraId="2D674D71" w14:textId="77777777" w:rsidR="00AF0680" w:rsidRDefault="00141CAE">
      <w:pPr>
        <w:spacing w:after="200"/>
      </w:pPr>
      <w:r>
        <w:t>PLH — Programme Local de l'Habitat.</w:t>
      </w:r>
    </w:p>
    <w:p w14:paraId="6F12B812" w14:textId="77777777" w:rsidR="00AF0680" w:rsidRDefault="00141CAE">
      <w:pPr>
        <w:spacing w:after="200"/>
      </w:pPr>
      <w:r>
        <w:t>ZAN — Zéro Artificialisation Nette.</w:t>
      </w:r>
    </w:p>
    <w:p w14:paraId="3C2C8A71" w14:textId="77777777" w:rsidR="00AF0680" w:rsidRDefault="00141CAE">
      <w:pPr>
        <w:spacing w:after="200"/>
      </w:pPr>
      <w:r>
        <w:t>ENAF — Espaces Naturels, Agricoles et Forestiers.</w:t>
      </w:r>
    </w:p>
    <w:p w14:paraId="13C7ED4A" w14:textId="77777777" w:rsidR="00AF0680" w:rsidRDefault="00141CAE">
      <w:pPr>
        <w:spacing w:after="200"/>
      </w:pPr>
      <w:r>
        <w:t>OCS-GE — Occupation du Sol à Grande Échelle.</w:t>
      </w:r>
    </w:p>
    <w:p w14:paraId="77E6FA5C" w14:textId="77777777" w:rsidR="00AF0680" w:rsidRDefault="00141CAE">
      <w:pPr>
        <w:spacing w:after="200"/>
      </w:pPr>
      <w:r>
        <w:t>SUP — Servitude d'Utilité Publique.</w:t>
      </w:r>
    </w:p>
    <w:p w14:paraId="731F8A63" w14:textId="77777777" w:rsidR="00AF0680" w:rsidRDefault="00141CAE">
      <w:pPr>
        <w:spacing w:after="200"/>
      </w:pPr>
      <w:r>
        <w:t>DVF — Demandes de Valeurs Foncières.</w:t>
      </w:r>
    </w:p>
    <w:p w14:paraId="1C0CF89F" w14:textId="77777777" w:rsidR="00AF0680" w:rsidRDefault="00141CAE">
      <w:pPr>
        <w:spacing w:after="200"/>
      </w:pPr>
      <w:r>
        <w:t>DPE — Diagnostic de Performance Énergétique.</w:t>
      </w:r>
    </w:p>
    <w:p w14:paraId="38AA9A98" w14:textId="77777777" w:rsidR="00AF0680" w:rsidRDefault="00141CAE">
      <w:pPr>
        <w:spacing w:after="200"/>
      </w:pPr>
      <w:r>
        <w:t>ONB — Observatoire National de la Biodiversité (ou équivalent local, à vérifier).</w:t>
      </w:r>
    </w:p>
    <w:p w14:paraId="03F980DB" w14:textId="77777777" w:rsidR="00AF0680" w:rsidRDefault="00141CAE">
      <w:pPr>
        <w:spacing w:after="200"/>
      </w:pPr>
      <w:r>
        <w:t>[Compléter avec les autres sigles utilisés : GDV, LAA, LLS, AUAT, etc.]</w:t>
      </w:r>
    </w:p>
    <w:p w14:paraId="15D0F78D" w14:textId="77777777" w:rsidR="00AF0680" w:rsidRDefault="00141CAE">
      <w:r>
        <w:br w:type="page"/>
      </w:r>
    </w:p>
    <w:p w14:paraId="0CB59339" w14:textId="77777777" w:rsidR="00AF0680" w:rsidRDefault="00141CAE">
      <w:pPr>
        <w:pStyle w:val="Titre1"/>
      </w:pPr>
      <w:r>
        <w:lastRenderedPageBreak/>
        <w:t>Annexes</w:t>
      </w:r>
    </w:p>
    <w:p w14:paraId="2CDDB19F" w14:textId="77777777" w:rsidR="00AF0680" w:rsidRDefault="00141CAE">
      <w:pPr>
        <w:spacing w:after="100"/>
      </w:pPr>
      <w:r>
        <w:rPr>
          <w:i/>
          <w:iCs/>
          <w:color w:val="595959"/>
          <w:sz w:val="20"/>
          <w:szCs w:val="20"/>
        </w:rPr>
        <w:t>▸ Lister ici les annexes envisagées, avec une numérotation claire (Annexe 1, 2...) reprise dans le corps du texte.</w:t>
      </w:r>
    </w:p>
    <w:p w14:paraId="4FF3F847" w14:textId="77777777" w:rsidR="00AF0680" w:rsidRDefault="00141CAE">
      <w:pPr>
        <w:pStyle w:val="Paragraphedeliste"/>
        <w:numPr>
          <w:ilvl w:val="0"/>
          <w:numId w:val="2"/>
        </w:numPr>
        <w:spacing w:after="80"/>
      </w:pPr>
      <w:r>
        <w:t>Annexe 1 — Lettre de mission</w:t>
      </w:r>
    </w:p>
    <w:p w14:paraId="5D889BA0" w14:textId="77777777" w:rsidR="00AF0680" w:rsidRDefault="00141CAE">
      <w:pPr>
        <w:pStyle w:val="Paragraphedeliste"/>
        <w:numPr>
          <w:ilvl w:val="0"/>
          <w:numId w:val="2"/>
        </w:numPr>
        <w:spacing w:after="80"/>
      </w:pPr>
      <w:r>
        <w:t>Annexe 2 — Fiche descriptive des indicateurs de l'observatoire</w:t>
      </w:r>
    </w:p>
    <w:p w14:paraId="5CC72F2D" w14:textId="77777777" w:rsidR="00AF0680" w:rsidRDefault="00141CAE">
      <w:pPr>
        <w:pStyle w:val="Paragraphedeliste"/>
        <w:numPr>
          <w:ilvl w:val="0"/>
          <w:numId w:val="2"/>
        </w:numPr>
        <w:spacing w:after="80"/>
      </w:pPr>
      <w:r>
        <w:t>Annexe 3 — Dictionnaire de données du modèle SCEP</w:t>
      </w:r>
    </w:p>
    <w:p w14:paraId="6069BA52" w14:textId="77777777" w:rsidR="00AF0680" w:rsidRDefault="00141CAE">
      <w:pPr>
        <w:pStyle w:val="Paragraphedeliste"/>
        <w:numPr>
          <w:ilvl w:val="0"/>
          <w:numId w:val="2"/>
        </w:numPr>
        <w:spacing w:after="80"/>
      </w:pPr>
      <w:r>
        <w:t>Annexe 4 — Extraits de scripts d'automatisation (organigrammes + extraits de code commentés)</w:t>
      </w:r>
    </w:p>
    <w:p w14:paraId="531DC7FC" w14:textId="77777777" w:rsidR="00AF0680" w:rsidRDefault="00141CAE">
      <w:pPr>
        <w:pStyle w:val="Paragraphedeliste"/>
        <w:numPr>
          <w:ilvl w:val="0"/>
          <w:numId w:val="2"/>
        </w:numPr>
        <w:spacing w:after="80"/>
      </w:pPr>
      <w:r>
        <w:t>Annexe 5 — Guide méthodologique de mise à jour des données (extrait)</w:t>
      </w:r>
    </w:p>
    <w:p w14:paraId="388DF37A" w14:textId="77777777" w:rsidR="00AF0680" w:rsidRDefault="00141CAE">
      <w:pPr>
        <w:pStyle w:val="Paragraphedeliste"/>
        <w:numPr>
          <w:ilvl w:val="0"/>
          <w:numId w:val="2"/>
        </w:numPr>
        <w:spacing w:after="80"/>
      </w:pPr>
      <w:r>
        <w:t xml:space="preserve">Annexe 6 — Exemple de pack </w:t>
      </w:r>
      <w:proofErr w:type="spellStart"/>
      <w:r>
        <w:t>carto</w:t>
      </w:r>
      <w:proofErr w:type="spellEnd"/>
      <w:r>
        <w:t xml:space="preserve"> par commune</w:t>
      </w:r>
    </w:p>
    <w:p w14:paraId="38C25C7F" w14:textId="77777777" w:rsidR="00AF0680" w:rsidRDefault="00141CAE">
      <w:pPr>
        <w:pStyle w:val="Paragraphedeliste"/>
        <w:numPr>
          <w:ilvl w:val="0"/>
          <w:numId w:val="2"/>
        </w:numPr>
        <w:spacing w:after="80"/>
      </w:pPr>
      <w:r>
        <w:t>[Ajouter toute autre annexe pertinente]</w:t>
      </w:r>
    </w:p>
    <w:p w14:paraId="1363516D" w14:textId="77777777" w:rsidR="00AF0680" w:rsidRDefault="00141CAE">
      <w:r>
        <w:br w:type="page"/>
      </w:r>
    </w:p>
    <w:p w14:paraId="64377B8B" w14:textId="77777777" w:rsidR="00AF0680" w:rsidRDefault="00141CAE">
      <w:pPr>
        <w:pStyle w:val="Titre1"/>
      </w:pPr>
      <w:r>
        <w:lastRenderedPageBreak/>
        <w:t>Résumé</w:t>
      </w:r>
    </w:p>
    <w:p w14:paraId="3F8B5F22" w14:textId="77777777" w:rsidR="00AF0680" w:rsidRDefault="00141CAE">
      <w:pPr>
        <w:spacing w:after="100"/>
      </w:pPr>
      <w:r>
        <w:rPr>
          <w:i/>
          <w:iCs/>
          <w:color w:val="595959"/>
          <w:sz w:val="20"/>
          <w:szCs w:val="20"/>
        </w:rPr>
        <w:t>▸ Résumé informatif et concis (objectifs, méthode, résultats, conclusions), 6 mots-clés maximum.</w:t>
      </w:r>
    </w:p>
    <w:p w14:paraId="60CD7ACF" w14:textId="77777777" w:rsidR="00AF0680" w:rsidRDefault="00141CAE">
      <w:pPr>
        <w:spacing w:after="200"/>
      </w:pPr>
      <w:r>
        <w:t>[Rédiger ici un résumé de 200 à 300 mots environ, présentant le contexte, la problématique, la méthode mise en œuvre et les principaux résultats/livrables du stage.]</w:t>
      </w:r>
    </w:p>
    <w:p w14:paraId="45ED40C6" w14:textId="77777777" w:rsidR="00AF0680" w:rsidRDefault="00141CAE">
      <w:pPr>
        <w:spacing w:before="200"/>
      </w:pPr>
      <w:r>
        <w:rPr>
          <w:b/>
          <w:bCs/>
        </w:rPr>
        <w:t xml:space="preserve">Mots-clés : </w:t>
      </w:r>
      <w:r>
        <w:t>[mot-clé 1, mot-clé 2, mot-clé 3, mot-clé 4, mot-clé 5, mot-clé 6]</w:t>
      </w:r>
    </w:p>
    <w:p w14:paraId="39DAC326" w14:textId="77777777" w:rsidR="00AF0680" w:rsidRDefault="00141CAE">
      <w:pPr>
        <w:pStyle w:val="Titre1"/>
      </w:pPr>
      <w:r>
        <w:t>Abstract</w:t>
      </w:r>
    </w:p>
    <w:p w14:paraId="187D4CC4" w14:textId="77777777" w:rsidR="00AF0680" w:rsidRDefault="00141CAE">
      <w:pPr>
        <w:spacing w:after="100"/>
      </w:pPr>
      <w:r>
        <w:rPr>
          <w:i/>
          <w:iCs/>
          <w:color w:val="595959"/>
          <w:sz w:val="20"/>
          <w:szCs w:val="20"/>
        </w:rPr>
        <w:t>▸ Traduction fidèle du résumé français, en anglais.</w:t>
      </w:r>
    </w:p>
    <w:p w14:paraId="19F6CB61" w14:textId="77777777" w:rsidR="00AF0680" w:rsidRPr="00AD0F97" w:rsidRDefault="00141CAE">
      <w:pPr>
        <w:spacing w:after="200"/>
        <w:rPr>
          <w:lang w:val="en-US"/>
        </w:rPr>
      </w:pPr>
      <w:r w:rsidRPr="00AD0F97">
        <w:rPr>
          <w:lang w:val="en-US"/>
        </w:rPr>
        <w:t>[Write here the English translation of the summary above — context, problem statement, method, main results/deliverables.]</w:t>
      </w:r>
    </w:p>
    <w:p w14:paraId="2BE5095A" w14:textId="77777777" w:rsidR="00AF0680" w:rsidRPr="00AD0F97" w:rsidRDefault="00141CAE">
      <w:pPr>
        <w:spacing w:before="200"/>
        <w:rPr>
          <w:lang w:val="en-US"/>
        </w:rPr>
      </w:pPr>
      <w:r w:rsidRPr="00AD0F97">
        <w:rPr>
          <w:b/>
          <w:bCs/>
          <w:lang w:val="en-US"/>
        </w:rPr>
        <w:t xml:space="preserve">Keywords: </w:t>
      </w:r>
      <w:r w:rsidRPr="00AD0F97">
        <w:rPr>
          <w:lang w:val="en-US"/>
        </w:rPr>
        <w:t>[keyword 1, keyword 2, keyword 3, keyword 4, keyword 5, keyword 6]</w:t>
      </w:r>
    </w:p>
    <w:sectPr w:rsidR="00AF0680" w:rsidRPr="00AD0F97">
      <w:headerReference w:type="default" r:id="rId13"/>
      <w:footerReference w:type="default" r:id="rId14"/>
      <w:pgSz w:w="11907" w:h="16840"/>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7FBC" w14:textId="77777777" w:rsidR="00AD5D5D" w:rsidRDefault="00AD5D5D">
      <w:r>
        <w:separator/>
      </w:r>
    </w:p>
  </w:endnote>
  <w:endnote w:type="continuationSeparator" w:id="0">
    <w:p w14:paraId="3AFB7D34" w14:textId="77777777" w:rsidR="00AD5D5D" w:rsidRDefault="00AD5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A691" w14:textId="77777777" w:rsidR="00AF0680" w:rsidRDefault="00141CAE">
    <w:pPr>
      <w:jc w:val="center"/>
    </w:pPr>
    <w:r>
      <w:rPr>
        <w:sz w:val="16"/>
        <w:szCs w:val="16"/>
      </w:rPr>
      <w:fldChar w:fldCharType="begin"/>
    </w:r>
    <w:r>
      <w:rPr>
        <w:sz w:val="16"/>
        <w:szCs w:val="16"/>
      </w:rPr>
      <w:instrText>PAGE</w:instrText>
    </w:r>
    <w:r>
      <w:rPr>
        <w:sz w:val="16"/>
        <w:szCs w:val="16"/>
      </w:rPr>
      <w:fldChar w:fldCharType="separate"/>
    </w:r>
    <w:r w:rsidR="00D1611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EA4B7" w14:textId="77777777" w:rsidR="00AD5D5D" w:rsidRDefault="00AD5D5D">
      <w:r>
        <w:separator/>
      </w:r>
    </w:p>
  </w:footnote>
  <w:footnote w:type="continuationSeparator" w:id="0">
    <w:p w14:paraId="577D95F0" w14:textId="77777777" w:rsidR="00AD5D5D" w:rsidRDefault="00AD5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5CE5" w14:textId="77777777" w:rsidR="00AF0680" w:rsidRDefault="00141CAE">
    <w:pPr>
      <w:jc w:val="right"/>
    </w:pPr>
    <w:r>
      <w:rPr>
        <w:color w:val="595959"/>
        <w:sz w:val="16"/>
        <w:szCs w:val="16"/>
      </w:rPr>
      <w:t>Rapport de stage — Master Géomatique — [</w:t>
    </w:r>
    <w:r w:rsidR="00BE7026">
      <w:rPr>
        <w:color w:val="595959"/>
        <w:sz w:val="16"/>
        <w:szCs w:val="16"/>
      </w:rPr>
      <w:t>Samuel</w:t>
    </w:r>
    <w:r>
      <w:rPr>
        <w:color w:val="595959"/>
        <w:sz w:val="16"/>
        <w:szCs w:val="16"/>
      </w:rPr>
      <w:t xml:space="preserve"> </w:t>
    </w:r>
    <w:r w:rsidR="00BE7026">
      <w:rPr>
        <w:color w:val="595959"/>
        <w:sz w:val="16"/>
        <w:szCs w:val="16"/>
      </w:rPr>
      <w:t>Martin</w:t>
    </w:r>
    <w:r>
      <w:rPr>
        <w:color w:val="595959"/>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3652B"/>
    <w:multiLevelType w:val="hybridMultilevel"/>
    <w:tmpl w:val="FF1C809C"/>
    <w:lvl w:ilvl="0" w:tplc="56EE4A68">
      <w:start w:val="1"/>
      <w:numFmt w:val="bullet"/>
      <w:lvlText w:val="•"/>
      <w:lvlJc w:val="left"/>
      <w:pPr>
        <w:ind w:left="420" w:hanging="260"/>
      </w:pPr>
    </w:lvl>
    <w:lvl w:ilvl="1" w:tplc="E7A4337A">
      <w:numFmt w:val="decimal"/>
      <w:lvlText w:val=""/>
      <w:lvlJc w:val="left"/>
    </w:lvl>
    <w:lvl w:ilvl="2" w:tplc="16D8C7A6">
      <w:numFmt w:val="decimal"/>
      <w:lvlText w:val=""/>
      <w:lvlJc w:val="left"/>
    </w:lvl>
    <w:lvl w:ilvl="3" w:tplc="AA3ADDE8">
      <w:numFmt w:val="decimal"/>
      <w:lvlText w:val=""/>
      <w:lvlJc w:val="left"/>
    </w:lvl>
    <w:lvl w:ilvl="4" w:tplc="C3D08F60">
      <w:numFmt w:val="decimal"/>
      <w:lvlText w:val=""/>
      <w:lvlJc w:val="left"/>
    </w:lvl>
    <w:lvl w:ilvl="5" w:tplc="DAA47060">
      <w:numFmt w:val="decimal"/>
      <w:lvlText w:val=""/>
      <w:lvlJc w:val="left"/>
    </w:lvl>
    <w:lvl w:ilvl="6" w:tplc="9ABEE0EC">
      <w:numFmt w:val="decimal"/>
      <w:lvlText w:val=""/>
      <w:lvlJc w:val="left"/>
    </w:lvl>
    <w:lvl w:ilvl="7" w:tplc="733C2C52">
      <w:numFmt w:val="decimal"/>
      <w:lvlText w:val=""/>
      <w:lvlJc w:val="left"/>
    </w:lvl>
    <w:lvl w:ilvl="8" w:tplc="8AE84C9C">
      <w:numFmt w:val="decimal"/>
      <w:lvlText w:val=""/>
      <w:lvlJc w:val="left"/>
    </w:lvl>
  </w:abstractNum>
  <w:abstractNum w:abstractNumId="1" w15:restartNumberingAfterBreak="0">
    <w:nsid w:val="71CA35CB"/>
    <w:multiLevelType w:val="hybridMultilevel"/>
    <w:tmpl w:val="FA7AA6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B443261"/>
    <w:multiLevelType w:val="hybridMultilevel"/>
    <w:tmpl w:val="E1C02C9E"/>
    <w:lvl w:ilvl="0" w:tplc="0964C3F2">
      <w:start w:val="1"/>
      <w:numFmt w:val="bullet"/>
      <w:lvlText w:val="●"/>
      <w:lvlJc w:val="left"/>
      <w:pPr>
        <w:ind w:left="720" w:hanging="360"/>
      </w:pPr>
    </w:lvl>
    <w:lvl w:ilvl="1" w:tplc="A5C2812E">
      <w:start w:val="1"/>
      <w:numFmt w:val="bullet"/>
      <w:lvlText w:val="○"/>
      <w:lvlJc w:val="left"/>
      <w:pPr>
        <w:ind w:left="1440" w:hanging="360"/>
      </w:pPr>
    </w:lvl>
    <w:lvl w:ilvl="2" w:tplc="3B64D8B4">
      <w:start w:val="1"/>
      <w:numFmt w:val="bullet"/>
      <w:lvlText w:val="■"/>
      <w:lvlJc w:val="left"/>
      <w:pPr>
        <w:ind w:left="2160" w:hanging="360"/>
      </w:pPr>
    </w:lvl>
    <w:lvl w:ilvl="3" w:tplc="F4F6308A">
      <w:start w:val="1"/>
      <w:numFmt w:val="bullet"/>
      <w:lvlText w:val="●"/>
      <w:lvlJc w:val="left"/>
      <w:pPr>
        <w:ind w:left="2880" w:hanging="360"/>
      </w:pPr>
    </w:lvl>
    <w:lvl w:ilvl="4" w:tplc="ADFC4CFC">
      <w:start w:val="1"/>
      <w:numFmt w:val="bullet"/>
      <w:lvlText w:val="○"/>
      <w:lvlJc w:val="left"/>
      <w:pPr>
        <w:ind w:left="3600" w:hanging="360"/>
      </w:pPr>
    </w:lvl>
    <w:lvl w:ilvl="5" w:tplc="D8E454C8">
      <w:start w:val="1"/>
      <w:numFmt w:val="bullet"/>
      <w:lvlText w:val="■"/>
      <w:lvlJc w:val="left"/>
      <w:pPr>
        <w:ind w:left="4320" w:hanging="360"/>
      </w:pPr>
    </w:lvl>
    <w:lvl w:ilvl="6" w:tplc="0DAAB4C8">
      <w:start w:val="1"/>
      <w:numFmt w:val="bullet"/>
      <w:lvlText w:val="●"/>
      <w:lvlJc w:val="left"/>
      <w:pPr>
        <w:ind w:left="5040" w:hanging="360"/>
      </w:pPr>
    </w:lvl>
    <w:lvl w:ilvl="7" w:tplc="CA40908C">
      <w:start w:val="1"/>
      <w:numFmt w:val="bullet"/>
      <w:lvlText w:val="●"/>
      <w:lvlJc w:val="left"/>
      <w:pPr>
        <w:ind w:left="5760" w:hanging="360"/>
      </w:pPr>
    </w:lvl>
    <w:lvl w:ilvl="8" w:tplc="C86C9550">
      <w:start w:val="1"/>
      <w:numFmt w:val="bullet"/>
      <w:lvlText w:val="●"/>
      <w:lvlJc w:val="left"/>
      <w:pPr>
        <w:ind w:left="6480" w:hanging="360"/>
      </w:pPr>
    </w:lvl>
  </w:abstractNum>
  <w:num w:numId="1" w16cid:durableId="1347712583">
    <w:abstractNumId w:val="2"/>
    <w:lvlOverride w:ilvl="0">
      <w:startOverride w:val="1"/>
    </w:lvlOverride>
  </w:num>
  <w:num w:numId="2" w16cid:durableId="1334648039">
    <w:abstractNumId w:val="0"/>
    <w:lvlOverride w:ilvl="0">
      <w:startOverride w:val="1"/>
    </w:lvlOverride>
  </w:num>
  <w:num w:numId="3" w16cid:durableId="457719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680"/>
    <w:rsid w:val="00141CAE"/>
    <w:rsid w:val="00184380"/>
    <w:rsid w:val="001C74ED"/>
    <w:rsid w:val="002C2A1D"/>
    <w:rsid w:val="00352F1D"/>
    <w:rsid w:val="003F657D"/>
    <w:rsid w:val="00463B3D"/>
    <w:rsid w:val="00470F6C"/>
    <w:rsid w:val="00533C0A"/>
    <w:rsid w:val="005B4905"/>
    <w:rsid w:val="00647A9E"/>
    <w:rsid w:val="00694AD2"/>
    <w:rsid w:val="006A64F8"/>
    <w:rsid w:val="00843632"/>
    <w:rsid w:val="00931409"/>
    <w:rsid w:val="009C5BCC"/>
    <w:rsid w:val="00AD0F97"/>
    <w:rsid w:val="00AD5D5D"/>
    <w:rsid w:val="00AF0680"/>
    <w:rsid w:val="00AF284F"/>
    <w:rsid w:val="00B2262F"/>
    <w:rsid w:val="00B31D8E"/>
    <w:rsid w:val="00B61987"/>
    <w:rsid w:val="00BE7026"/>
    <w:rsid w:val="00CD154D"/>
    <w:rsid w:val="00CF234B"/>
    <w:rsid w:val="00D16119"/>
    <w:rsid w:val="00D37E43"/>
    <w:rsid w:val="00F4433F"/>
    <w:rsid w:val="00F55D64"/>
    <w:rsid w:val="00F92C32"/>
    <w:rsid w:val="00FC2EFD"/>
    <w:rsid w:val="00FD0E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4A34"/>
  <w15:docId w15:val="{F6D5FAE4-DAC3-4270-9E52-6DBD8AA58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C0504D"/>
      <w:sz w:val="30"/>
      <w:szCs w:val="30"/>
    </w:rPr>
  </w:style>
  <w:style w:type="paragraph" w:styleId="Titre2">
    <w:name w:val="heading 2"/>
    <w:uiPriority w:val="9"/>
    <w:unhideWhenUsed/>
    <w:qFormat/>
    <w:pPr>
      <w:spacing w:before="300" w:after="150"/>
      <w:outlineLvl w:val="1"/>
    </w:pPr>
    <w:rPr>
      <w:b/>
      <w:bCs/>
      <w:color w:val="333333"/>
      <w:sz w:val="26"/>
      <w:szCs w:val="26"/>
    </w:rPr>
  </w:style>
  <w:style w:type="paragraph" w:styleId="Titre3">
    <w:name w:val="heading 3"/>
    <w:uiPriority w:val="9"/>
    <w:unhideWhenUsed/>
    <w:qFormat/>
    <w:pPr>
      <w:spacing w:before="200" w:after="100"/>
      <w:outlineLvl w:val="2"/>
    </w:pPr>
    <w:rPr>
      <w:b/>
      <w:bCs/>
      <w:i/>
      <w:iCs/>
      <w:color w:val="333333"/>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E7026"/>
    <w:pPr>
      <w:tabs>
        <w:tab w:val="center" w:pos="4536"/>
        <w:tab w:val="right" w:pos="9072"/>
      </w:tabs>
    </w:pPr>
  </w:style>
  <w:style w:type="character" w:customStyle="1" w:styleId="En-tteCar">
    <w:name w:val="En-tête Car"/>
    <w:basedOn w:val="Policepardfaut"/>
    <w:link w:val="En-tte"/>
    <w:uiPriority w:val="99"/>
    <w:rsid w:val="00BE7026"/>
  </w:style>
  <w:style w:type="paragraph" w:styleId="Pieddepage">
    <w:name w:val="footer"/>
    <w:basedOn w:val="Normal"/>
    <w:link w:val="PieddepageCar"/>
    <w:uiPriority w:val="99"/>
    <w:unhideWhenUsed/>
    <w:rsid w:val="00BE7026"/>
    <w:pPr>
      <w:tabs>
        <w:tab w:val="center" w:pos="4536"/>
        <w:tab w:val="right" w:pos="9072"/>
      </w:tabs>
    </w:pPr>
  </w:style>
  <w:style w:type="character" w:customStyle="1" w:styleId="PieddepageCar">
    <w:name w:val="Pied de page Car"/>
    <w:basedOn w:val="Policepardfaut"/>
    <w:link w:val="Pieddepage"/>
    <w:uiPriority w:val="99"/>
    <w:rsid w:val="00BE7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CB848-1D79-4FD7-B8F2-28AE32F99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TotalTime>
  <Pages>21</Pages>
  <Words>4659</Words>
  <Characters>25628</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Trame — Rapport de stage M2 Géomatique</vt:lpstr>
    </vt:vector>
  </TitlesOfParts>
  <Company>SICOVAL</Company>
  <LinksUpToDate>false</LinksUpToDate>
  <CharactersWithSpaces>30227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Trame — Rapport de stage M2 Géomatique</dc:title>
  <dc:subject/>
  <dc:creator>Trame de rapport de stage</dc:creator>
  <cp:keywords/>
  <dc:description/>
  <cp:lastModifiedBy>samuel martin</cp:lastModifiedBy>
  <cp:revision>5</cp:revision>
  <dcterms:created xsi:type="dcterms:W3CDTF">2026-08-26T15:51:00Z</dcterms:created>
  <dcterms:modified xsi:type="dcterms:W3CDTF">2026-08-28T17:23:00Z</dcterms:modified>
</cp:coreProperties>
</file>