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6F19" w14:textId="013E7F31" w:rsidR="003A7E70" w:rsidRPr="00B2315D" w:rsidRDefault="00B2315D" w:rsidP="003F7D41">
      <w:pPr>
        <w:spacing w:after="0"/>
        <w:jc w:val="left"/>
      </w:pPr>
      <w:r w:rsidRPr="00B2315D">
        <w:rPr>
          <w:noProof/>
          <w:lang w:eastAsia="en-US"/>
        </w:rPr>
        <mc:AlternateContent>
          <mc:Choice Requires="wpg">
            <w:drawing>
              <wp:anchor distT="0" distB="0" distL="114300" distR="114300" simplePos="0" relativeHeight="251667456" behindDoc="1" locked="1" layoutInCell="1" allowOverlap="1" wp14:anchorId="6D62C686" wp14:editId="1BB811C2">
                <wp:simplePos x="0" y="0"/>
                <wp:positionH relativeFrom="column">
                  <wp:posOffset>-481330</wp:posOffset>
                </wp:positionH>
                <wp:positionV relativeFrom="paragraph">
                  <wp:posOffset>-5886450</wp:posOffset>
                </wp:positionV>
                <wp:extent cx="9857105" cy="10396220"/>
                <wp:effectExtent l="0" t="0" r="0" b="6223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0396220"/>
                          <a:chOff x="0" y="0"/>
                          <a:chExt cx="9853930" cy="10400157"/>
                        </a:xfrm>
                      </wpg:grpSpPr>
                      <wps:wsp>
                        <wps:cNvPr id="1434971315" name="Straight Connector 5"/>
                        <wps:cNvCnPr/>
                        <wps:spPr>
                          <a:xfrm flipH="1">
                            <a:off x="251457" y="4811947"/>
                            <a:ext cx="38961" cy="5588210"/>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3675A" id="Group 2" o:spid="_x0000_s1026" alt="&quot;&quot;" style="position:absolute;margin-left:-37.9pt;margin-top:-463.5pt;width:776.15pt;height:818.6pt;z-index:-251649024;mso-width-relative:margin;mso-height-relative:margin" coordsize="98539,10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">
                <v:line id="Straight Connector 5" o:spid="_x0000_s1027" style="position:absolute;flip:x;visibility:visible;mso-wrap-style:square" from="2514,48119" to="2904,10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" strokecolor="#5d7879 [3207]" strokeweight="6pt">
                  <v:stroke joinstyle="miter"/>
                </v:line>
                <v:oval id="Oval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" fillcolor="#5d7879 [3207]" stroked="f" strokeweight="1pt">
                  <v:stroke joinstyle="miter"/>
                </v:oval>
                <v:oval id="Oval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" fillcolor="#dde5e5 [663]" stroked="f" strokeweight="1pt">
                  <v:fill opacity="35980f"/>
                  <v:stroke joinstyle="miter"/>
                </v:oval>
                <w10:anchorlock/>
              </v:group>
            </w:pict>
          </mc:Fallback>
        </mc:AlternateContent>
      </w:r>
    </w:p>
    <w:p w14:paraId="148CBCF2" w14:textId="151B4902" w:rsidR="00B46725" w:rsidRPr="003F7D41" w:rsidRDefault="003F7D41" w:rsidP="006F1B29">
      <w:pPr>
        <w:pStyle w:val="Title"/>
        <w:spacing w:line="276" w:lineRule="auto"/>
        <w:ind w:left="0"/>
        <w:jc w:val="center"/>
        <w:rPr>
          <w:sz w:val="72"/>
          <w:lang w:val="fr-FR"/>
        </w:rPr>
      </w:pPr>
      <w:r>
        <w:rPr>
          <w:sz w:val="72"/>
          <w:lang w:val="fr-FR"/>
        </w:rPr>
        <w:t>Caractériser les passes récifales du Pacifique Sud</w:t>
      </w:r>
      <w:r w:rsidR="004F0B11">
        <w:rPr>
          <w:sz w:val="72"/>
          <w:lang w:val="fr-FR"/>
        </w:rPr>
        <w:t>. Contribution au projet SocPacific2R</w:t>
      </w:r>
    </w:p>
    <w:p w14:paraId="76393F7E" w14:textId="77777777" w:rsidR="00500597" w:rsidRPr="00755453" w:rsidRDefault="00500597" w:rsidP="00970CC1">
      <w:pPr>
        <w:pStyle w:val="ContactInfo"/>
        <w:ind w:left="0" w:right="-2160"/>
        <w:rPr>
          <w:szCs w:val="24"/>
          <w:lang w:val="fr-FR"/>
        </w:rPr>
      </w:pPr>
    </w:p>
    <w:p w14:paraId="3889A0A7" w14:textId="77777777" w:rsidR="003F7D41" w:rsidRDefault="003F7D41" w:rsidP="004807F4">
      <w:pPr>
        <w:pStyle w:val="ContactInfo"/>
        <w:ind w:left="0"/>
        <w:jc w:val="right"/>
        <w:rPr>
          <w:lang w:val="fr-FR"/>
        </w:rPr>
      </w:pPr>
    </w:p>
    <w:p w14:paraId="75CA32F9" w14:textId="77777777" w:rsidR="003F7D41" w:rsidRDefault="003F7D41" w:rsidP="004807F4">
      <w:pPr>
        <w:pStyle w:val="ContactInfo"/>
        <w:ind w:left="0"/>
        <w:jc w:val="right"/>
        <w:rPr>
          <w:lang w:val="fr-FR"/>
        </w:rPr>
      </w:pPr>
    </w:p>
    <w:p w14:paraId="0D45ABBA" w14:textId="12E4FCFD" w:rsidR="00B46725" w:rsidRPr="00755453" w:rsidRDefault="00755453" w:rsidP="004807F4">
      <w:pPr>
        <w:pStyle w:val="ContactInfo"/>
        <w:ind w:left="0"/>
        <w:jc w:val="right"/>
        <w:rPr>
          <w:lang w:val="fr-FR"/>
        </w:rPr>
      </w:pPr>
      <w:r w:rsidRPr="00755453">
        <w:rPr>
          <w:lang w:val="fr-FR"/>
        </w:rPr>
        <w:t>Par LAFONT</w:t>
      </w:r>
      <w:r w:rsidR="004807F4">
        <w:rPr>
          <w:lang w:val="fr-FR"/>
        </w:rPr>
        <w:t xml:space="preserve"> </w:t>
      </w:r>
      <w:r w:rsidRPr="00755453">
        <w:rPr>
          <w:lang w:val="fr-FR"/>
        </w:rPr>
        <w:t xml:space="preserve">Nathan et </w:t>
      </w:r>
      <w:r>
        <w:rPr>
          <w:lang w:val="fr-FR"/>
        </w:rPr>
        <w:t xml:space="preserve">MARTIN </w:t>
      </w:r>
      <w:r w:rsidR="004807F4">
        <w:rPr>
          <w:lang w:val="fr-FR"/>
        </w:rPr>
        <w:t>Samuel</w:t>
      </w:r>
    </w:p>
    <w:p w14:paraId="44D9C83A" w14:textId="2547367D" w:rsidR="00C65E4B" w:rsidRDefault="00755453" w:rsidP="004807F4">
      <w:pPr>
        <w:pStyle w:val="ContactInfo"/>
        <w:ind w:left="0"/>
        <w:jc w:val="right"/>
        <w:rPr>
          <w:lang w:val="fr-FR"/>
        </w:rPr>
      </w:pPr>
      <w:r w:rsidRPr="00755453">
        <w:rPr>
          <w:lang w:val="fr-FR"/>
        </w:rPr>
        <w:t>Université Montpellier III Paul V</w:t>
      </w:r>
      <w:r>
        <w:rPr>
          <w:lang w:val="fr-FR"/>
        </w:rPr>
        <w:t>aléry</w:t>
      </w:r>
    </w:p>
    <w:p w14:paraId="646DBA6A" w14:textId="7D2B5E21" w:rsidR="004807F4" w:rsidRDefault="004807F4" w:rsidP="004807F4">
      <w:pPr>
        <w:pStyle w:val="ContactInfo"/>
        <w:ind w:left="0"/>
        <w:jc w:val="right"/>
        <w:rPr>
          <w:lang w:val="fr-FR"/>
        </w:rPr>
      </w:pPr>
      <w:r>
        <w:rPr>
          <w:lang w:val="fr-FR"/>
        </w:rPr>
        <w:t>Février 2025 – Mai 2025</w:t>
      </w:r>
    </w:p>
    <w:p w14:paraId="3B7A4530" w14:textId="77777777" w:rsidR="004807F4" w:rsidRPr="004807F4" w:rsidRDefault="004807F4" w:rsidP="004807F4">
      <w:pPr>
        <w:pStyle w:val="ContactInfo"/>
        <w:ind w:left="0"/>
        <w:jc w:val="right"/>
        <w:rPr>
          <w:lang w:val="fr-FR"/>
        </w:rPr>
      </w:pPr>
    </w:p>
    <w:p w14:paraId="71E321BF" w14:textId="03102907" w:rsidR="003C1E78" w:rsidRPr="003046F5" w:rsidRDefault="00B2315D" w:rsidP="004807F4">
      <w:pPr>
        <w:pStyle w:val="ContactInfo"/>
        <w:ind w:left="0"/>
        <w:rPr>
          <w:lang w:val="fr-FR"/>
        </w:rPr>
      </w:pPr>
      <w:r w:rsidRPr="003046F5">
        <w:rPr>
          <w:lang w:val="fr-FR"/>
        </w:rPr>
        <w:lastRenderedPageBreak/>
        <w:t xml:space="preserve"> </w:t>
      </w:r>
    </w:p>
    <w:p w14:paraId="3192A3EF" w14:textId="77777777" w:rsidR="00B2315D" w:rsidRPr="003046F5" w:rsidRDefault="00B2315D" w:rsidP="00955B5B">
      <w:pPr>
        <w:pStyle w:val="ContactInfo"/>
        <w:rPr>
          <w:lang w:val="fr-FR"/>
        </w:rPr>
      </w:pPr>
    </w:p>
    <w:p w14:paraId="61A7D1ED" w14:textId="77777777" w:rsidR="00B2315D" w:rsidRPr="003046F5" w:rsidRDefault="00B2315D" w:rsidP="00E7527C">
      <w:pPr>
        <w:pStyle w:val="GreenHeading"/>
        <w:rPr>
          <w:lang w:val="fr-FR"/>
        </w:rPr>
        <w:sectPr w:rsidR="00B2315D" w:rsidRPr="003046F5" w:rsidSect="003E7EB5">
          <w:footerReference w:type="default" r:id="rId11"/>
          <w:pgSz w:w="11906" w:h="16838" w:code="9"/>
          <w:pgMar w:top="9000" w:right="3600" w:bottom="288" w:left="1440" w:header="720" w:footer="720" w:gutter="0"/>
          <w:pgNumType w:start="0"/>
          <w:cols w:space="720"/>
          <w:titlePg/>
          <w:docGrid w:linePitch="360"/>
        </w:sectPr>
      </w:pPr>
    </w:p>
    <w:p w14:paraId="7F73F94A" w14:textId="77777777" w:rsidR="003E7EB5" w:rsidRPr="003E7EB5" w:rsidRDefault="003E7EB5" w:rsidP="00844C26">
      <w:pPr>
        <w:pStyle w:val="Heading3"/>
        <w:rPr>
          <w:lang w:val="fr-FR"/>
        </w:rPr>
      </w:pPr>
      <w:bookmarkStart w:id="0" w:name="_Toc197709448"/>
      <w:r w:rsidRPr="003E7EB5">
        <w:rPr>
          <w:lang w:val="fr-FR"/>
        </w:rPr>
        <w:lastRenderedPageBreak/>
        <w:t>RÉSUMÉ</w:t>
      </w:r>
      <w:bookmarkEnd w:id="0"/>
    </w:p>
    <w:p w14:paraId="1650A429" w14:textId="77777777" w:rsidR="00844C26" w:rsidRDefault="003E7EB5" w:rsidP="003E7EB5">
      <w:pPr>
        <w:rPr>
          <w:lang w:val="fr-FR"/>
        </w:rPr>
      </w:pPr>
      <w:r w:rsidRPr="003E7EB5">
        <w:rPr>
          <w:lang w:val="fr-FR"/>
        </w:rPr>
        <w:tab/>
      </w:r>
    </w:p>
    <w:p w14:paraId="50DB7FB1" w14:textId="31B8B6FC" w:rsidR="003E7EB5" w:rsidRPr="003E7EB5" w:rsidRDefault="003E7EB5" w:rsidP="00D732A4">
      <w:pPr>
        <w:ind w:firstLine="720"/>
        <w:rPr>
          <w:lang w:val="fr-FR"/>
        </w:rPr>
      </w:pPr>
      <w:r w:rsidRPr="003E7EB5">
        <w:rPr>
          <w:lang w:val="fr-FR"/>
        </w:rPr>
        <w:t xml:space="preserve">Par </w:t>
      </w:r>
      <w:r>
        <w:rPr>
          <w:lang w:val="fr-FR"/>
        </w:rPr>
        <w:t>notre</w:t>
      </w:r>
      <w:r w:rsidRPr="003E7EB5">
        <w:rPr>
          <w:lang w:val="fr-FR"/>
        </w:rPr>
        <w:t xml:space="preserve"> parcours universitaire, </w:t>
      </w:r>
      <w:r>
        <w:rPr>
          <w:lang w:val="fr-FR"/>
        </w:rPr>
        <w:t>nous avons</w:t>
      </w:r>
      <w:r w:rsidRPr="003E7EB5">
        <w:rPr>
          <w:lang w:val="fr-FR"/>
        </w:rPr>
        <w:t xml:space="preserve"> eu l’occasion de réaliser un</w:t>
      </w:r>
      <w:r w:rsidR="007A7B89">
        <w:rPr>
          <w:lang w:val="fr-FR"/>
        </w:rPr>
        <w:t xml:space="preserve"> projet tuteuré </w:t>
      </w:r>
      <w:r w:rsidRPr="003E7EB5">
        <w:rPr>
          <w:lang w:val="fr-FR"/>
        </w:rPr>
        <w:t xml:space="preserve">d’une durée de </w:t>
      </w:r>
      <w:r w:rsidR="007A7B89">
        <w:rPr>
          <w:lang w:val="fr-FR"/>
        </w:rPr>
        <w:t xml:space="preserve">4 mois </w:t>
      </w:r>
      <w:r w:rsidRPr="003E7EB5">
        <w:rPr>
          <w:lang w:val="fr-FR"/>
        </w:rPr>
        <w:t xml:space="preserve">auprès de </w:t>
      </w:r>
      <w:r w:rsidR="007A7B89">
        <w:rPr>
          <w:lang w:val="fr-FR"/>
        </w:rPr>
        <w:t>l’UMR-SENS à Saint-Charles, Université Montpellier III Paul Valéry</w:t>
      </w:r>
      <w:r w:rsidRPr="003E7EB5">
        <w:rPr>
          <w:lang w:val="fr-FR"/>
        </w:rPr>
        <w:t>.</w:t>
      </w:r>
    </w:p>
    <w:p w14:paraId="01E2EAA7" w14:textId="09A11EA1" w:rsidR="007A7B89" w:rsidRDefault="003E7EB5" w:rsidP="003E7EB5">
      <w:pPr>
        <w:rPr>
          <w:lang w:val="fr-FR"/>
        </w:rPr>
      </w:pPr>
      <w:r w:rsidRPr="003E7EB5">
        <w:rPr>
          <w:lang w:val="fr-FR"/>
        </w:rPr>
        <w:tab/>
      </w:r>
      <w:r w:rsidR="007A7B89">
        <w:rPr>
          <w:lang w:val="fr-FR"/>
        </w:rPr>
        <w:t>Notre mission était de recenser les passes récifales sur une partie des archipels de Nouvelle-Calédonie, Fidji et Polynésie Française et de définir un ensemble de critères permettant de les caractériser pour ensuite partager ces information</w:t>
      </w:r>
      <w:r w:rsidR="00D732A4">
        <w:rPr>
          <w:lang w:val="fr-FR"/>
        </w:rPr>
        <w:t>s</w:t>
      </w:r>
      <w:r w:rsidR="007A7B89">
        <w:rPr>
          <w:lang w:val="fr-FR"/>
        </w:rPr>
        <w:t> : un travail de recensement qui impliquait la photo-interprétation des passes, l’élaboration d’indices et le choix de critères pour caractériser ces formations récifales</w:t>
      </w:r>
      <w:r w:rsidR="00844C26">
        <w:rPr>
          <w:lang w:val="fr-FR"/>
        </w:rPr>
        <w:t xml:space="preserve"> ; un corpus de données qu’il </w:t>
      </w:r>
      <w:r w:rsidR="00D732A4">
        <w:rPr>
          <w:lang w:val="fr-FR"/>
        </w:rPr>
        <w:t xml:space="preserve">a </w:t>
      </w:r>
      <w:r w:rsidR="00844C26">
        <w:rPr>
          <w:lang w:val="fr-FR"/>
        </w:rPr>
        <w:t>ensuite fallu rendre intelligible et accessible au grand public</w:t>
      </w:r>
      <w:r w:rsidR="007A7B89">
        <w:rPr>
          <w:lang w:val="fr-FR"/>
        </w:rPr>
        <w:t xml:space="preserve">. </w:t>
      </w:r>
    </w:p>
    <w:p w14:paraId="1D65FD5C" w14:textId="685F440E" w:rsidR="003E7EB5" w:rsidRPr="003E7EB5" w:rsidRDefault="003E7EB5" w:rsidP="003E7EB5">
      <w:pPr>
        <w:rPr>
          <w:lang w:val="fr-FR"/>
        </w:rPr>
      </w:pPr>
      <w:r w:rsidRPr="003E7EB5">
        <w:rPr>
          <w:lang w:val="fr-FR"/>
        </w:rPr>
        <w:tab/>
      </w:r>
      <w:r w:rsidR="00844C26" w:rsidRPr="00844C26">
        <w:rPr>
          <w:i/>
          <w:iCs/>
          <w:highlight w:val="yellow"/>
          <w:lang w:val="fr-FR"/>
        </w:rPr>
        <w:t xml:space="preserve">Paragraphe sur les compétences apportés par le projet, aussi bien les hard </w:t>
      </w:r>
      <w:proofErr w:type="spellStart"/>
      <w:r w:rsidR="00844C26" w:rsidRPr="00844C26">
        <w:rPr>
          <w:i/>
          <w:iCs/>
          <w:highlight w:val="yellow"/>
          <w:lang w:val="fr-FR"/>
        </w:rPr>
        <w:t>skills</w:t>
      </w:r>
      <w:proofErr w:type="spellEnd"/>
      <w:r w:rsidR="00844C26" w:rsidRPr="00844C26">
        <w:rPr>
          <w:i/>
          <w:iCs/>
          <w:highlight w:val="yellow"/>
          <w:lang w:val="fr-FR"/>
        </w:rPr>
        <w:t xml:space="preserve"> que les soft </w:t>
      </w:r>
      <w:proofErr w:type="spellStart"/>
      <w:r w:rsidR="00844C26" w:rsidRPr="00844C26">
        <w:rPr>
          <w:i/>
          <w:iCs/>
          <w:highlight w:val="yellow"/>
          <w:lang w:val="fr-FR"/>
        </w:rPr>
        <w:t>skills</w:t>
      </w:r>
      <w:proofErr w:type="spellEnd"/>
      <w:r w:rsidRPr="003E7EB5">
        <w:rPr>
          <w:highlight w:val="yellow"/>
          <w:lang w:val="fr-FR"/>
        </w:rPr>
        <w:t>.</w:t>
      </w:r>
    </w:p>
    <w:p w14:paraId="65134C85" w14:textId="737B0FA8" w:rsidR="003E7EB5" w:rsidRDefault="003E7EB5" w:rsidP="003E7EB5">
      <w:pPr>
        <w:rPr>
          <w:lang w:val="fr-FR"/>
        </w:rPr>
      </w:pPr>
    </w:p>
    <w:p w14:paraId="459CF857" w14:textId="4116D0D4" w:rsidR="003E7EB5" w:rsidRPr="003046F5" w:rsidRDefault="003E7EB5" w:rsidP="00844C26">
      <w:pPr>
        <w:pStyle w:val="Heading3"/>
        <w:rPr>
          <w:lang w:val="en-GB"/>
        </w:rPr>
      </w:pPr>
      <w:bookmarkStart w:id="1" w:name="_Toc197709449"/>
      <w:r w:rsidRPr="003046F5">
        <w:rPr>
          <w:lang w:val="en-GB"/>
        </w:rPr>
        <w:t>SUMMARY</w:t>
      </w:r>
      <w:bookmarkEnd w:id="1"/>
    </w:p>
    <w:p w14:paraId="50FA69C6" w14:textId="77777777" w:rsidR="00844C26" w:rsidRDefault="00844C26" w:rsidP="00844C26">
      <w:pPr>
        <w:ind w:firstLine="720"/>
        <w:rPr>
          <w:lang w:val="en"/>
        </w:rPr>
      </w:pPr>
    </w:p>
    <w:p w14:paraId="5126C7F2" w14:textId="424759CF" w:rsidR="00844C26" w:rsidRPr="00844C26" w:rsidRDefault="00844C26" w:rsidP="00844C26">
      <w:pPr>
        <w:ind w:firstLine="720"/>
        <w:rPr>
          <w:lang w:val="en"/>
        </w:rPr>
      </w:pPr>
      <w:r w:rsidRPr="00844C26">
        <w:rPr>
          <w:lang w:val="en"/>
        </w:rPr>
        <w:t xml:space="preserve">Through our academic studies, we had the opportunity to </w:t>
      </w:r>
      <w:r>
        <w:rPr>
          <w:lang w:val="en"/>
        </w:rPr>
        <w:t>carry out</w:t>
      </w:r>
      <w:r w:rsidRPr="00844C26">
        <w:rPr>
          <w:lang w:val="en"/>
        </w:rPr>
        <w:t xml:space="preserve"> a four-month supervised project at the UMR-SENS in Saint-Charles, Montpellier III Paul Valéry University.</w:t>
      </w:r>
    </w:p>
    <w:p w14:paraId="57D16ED2" w14:textId="4B5E7394" w:rsidR="00844C26" w:rsidRDefault="00844C26" w:rsidP="00844C26">
      <w:pPr>
        <w:ind w:firstLine="720"/>
        <w:rPr>
          <w:lang w:val="en"/>
        </w:rPr>
      </w:pPr>
      <w:r w:rsidRPr="00844C26">
        <w:rPr>
          <w:lang w:val="en"/>
        </w:rPr>
        <w:t>Our mission was to identify</w:t>
      </w:r>
      <w:r>
        <w:rPr>
          <w:lang w:val="en"/>
        </w:rPr>
        <w:t xml:space="preserve"> and inventory</w:t>
      </w:r>
      <w:r w:rsidRPr="00844C26">
        <w:rPr>
          <w:lang w:val="en"/>
        </w:rPr>
        <w:t xml:space="preserve"> reef passes in parts of the archipelagos of New Caledonia, Fiji, and French Polynesia and to define a set of criteria for characterizing them, thereby sharing this information. </w:t>
      </w:r>
      <w:r>
        <w:rPr>
          <w:lang w:val="en"/>
        </w:rPr>
        <w:t xml:space="preserve">An </w:t>
      </w:r>
      <w:r w:rsidRPr="00844C26">
        <w:rPr>
          <w:lang w:val="en"/>
        </w:rPr>
        <w:t xml:space="preserve">inventory </w:t>
      </w:r>
      <w:r>
        <w:rPr>
          <w:lang w:val="en"/>
        </w:rPr>
        <w:t>work</w:t>
      </w:r>
      <w:r w:rsidRPr="00844C26">
        <w:rPr>
          <w:lang w:val="en"/>
        </w:rPr>
        <w:t xml:space="preserve"> involv</w:t>
      </w:r>
      <w:r>
        <w:rPr>
          <w:lang w:val="en"/>
        </w:rPr>
        <w:t xml:space="preserve">ing </w:t>
      </w:r>
      <w:r w:rsidRPr="00844C26">
        <w:rPr>
          <w:lang w:val="en"/>
        </w:rPr>
        <w:t>photo</w:t>
      </w:r>
      <w:r>
        <w:rPr>
          <w:lang w:val="en"/>
        </w:rPr>
        <w:t>-</w:t>
      </w:r>
      <w:r w:rsidRPr="00844C26">
        <w:rPr>
          <w:lang w:val="en"/>
        </w:rPr>
        <w:t>interpreting the passes, developing indices, and selecting criteria to characterize these reef formations; this data</w:t>
      </w:r>
      <w:r>
        <w:rPr>
          <w:lang w:val="en"/>
        </w:rPr>
        <w:t xml:space="preserve"> corpus</w:t>
      </w:r>
      <w:r w:rsidRPr="00844C26">
        <w:rPr>
          <w:lang w:val="en"/>
        </w:rPr>
        <w:t xml:space="preserve"> then had to be made </w:t>
      </w:r>
      <w:r>
        <w:rPr>
          <w:lang w:val="en"/>
        </w:rPr>
        <w:t>understandable</w:t>
      </w:r>
      <w:r w:rsidRPr="00844C26">
        <w:rPr>
          <w:lang w:val="en"/>
        </w:rPr>
        <w:t xml:space="preserve"> and accessible to the general public.</w:t>
      </w:r>
    </w:p>
    <w:p w14:paraId="0767A5FA" w14:textId="5EDBC2FD" w:rsidR="000F3D5D" w:rsidRPr="00844C26" w:rsidRDefault="000F3D5D" w:rsidP="00844C26">
      <w:pPr>
        <w:ind w:firstLine="720"/>
        <w:rPr>
          <w:lang w:val="fr-FR"/>
        </w:rPr>
      </w:pPr>
      <w:r w:rsidRPr="00844C26">
        <w:rPr>
          <w:i/>
          <w:iCs/>
          <w:highlight w:val="yellow"/>
          <w:lang w:val="fr-FR"/>
        </w:rPr>
        <w:t xml:space="preserve">Paragraphe sur les compétences apportés par le projet, aussi bien les hard </w:t>
      </w:r>
      <w:proofErr w:type="spellStart"/>
      <w:r w:rsidRPr="00844C26">
        <w:rPr>
          <w:i/>
          <w:iCs/>
          <w:highlight w:val="yellow"/>
          <w:lang w:val="fr-FR"/>
        </w:rPr>
        <w:t>skills</w:t>
      </w:r>
      <w:proofErr w:type="spellEnd"/>
      <w:r w:rsidRPr="00844C26">
        <w:rPr>
          <w:i/>
          <w:iCs/>
          <w:highlight w:val="yellow"/>
          <w:lang w:val="fr-FR"/>
        </w:rPr>
        <w:t xml:space="preserve"> que les soft </w:t>
      </w:r>
      <w:proofErr w:type="spellStart"/>
      <w:r w:rsidRPr="00844C26">
        <w:rPr>
          <w:i/>
          <w:iCs/>
          <w:highlight w:val="yellow"/>
          <w:lang w:val="fr-FR"/>
        </w:rPr>
        <w:t>skills</w:t>
      </w:r>
      <w:proofErr w:type="spellEnd"/>
      <w:r w:rsidRPr="003E7EB5">
        <w:rPr>
          <w:highlight w:val="yellow"/>
          <w:lang w:val="fr-FR"/>
        </w:rPr>
        <w:t>.</w:t>
      </w:r>
    </w:p>
    <w:p w14:paraId="3DBD68CE" w14:textId="77777777" w:rsidR="003E7EB5" w:rsidRDefault="003E7EB5" w:rsidP="003E7EB5">
      <w:pPr>
        <w:rPr>
          <w:lang w:val="fr-FR"/>
        </w:rPr>
      </w:pPr>
    </w:p>
    <w:p w14:paraId="0379BD43" w14:textId="77777777" w:rsidR="000F3D5D" w:rsidRDefault="000F3D5D" w:rsidP="003E7EB5">
      <w:pPr>
        <w:rPr>
          <w:lang w:val="fr-FR"/>
        </w:rPr>
      </w:pPr>
    </w:p>
    <w:p w14:paraId="6D8D54C6" w14:textId="77777777" w:rsidR="000F3D5D" w:rsidRDefault="000F3D5D" w:rsidP="003E7EB5">
      <w:pPr>
        <w:rPr>
          <w:lang w:val="fr-FR"/>
        </w:rPr>
      </w:pPr>
    </w:p>
    <w:p w14:paraId="518C0E58" w14:textId="77777777" w:rsidR="000F3D5D" w:rsidRDefault="000F3D5D" w:rsidP="003E7EB5">
      <w:pPr>
        <w:rPr>
          <w:lang w:val="fr-FR"/>
        </w:rPr>
      </w:pPr>
    </w:p>
    <w:p w14:paraId="3388943D" w14:textId="19ABB796" w:rsidR="000F3D5D" w:rsidRDefault="000F3D5D">
      <w:pPr>
        <w:spacing w:before="120" w:after="0" w:line="264" w:lineRule="auto"/>
        <w:jc w:val="left"/>
        <w:rPr>
          <w:lang w:val="fr-FR"/>
        </w:rPr>
      </w:pPr>
      <w:r>
        <w:rPr>
          <w:lang w:val="fr-FR"/>
        </w:rPr>
        <w:br w:type="page"/>
      </w:r>
    </w:p>
    <w:p w14:paraId="51E535D7" w14:textId="13BB5B59" w:rsidR="000F3D5D" w:rsidRDefault="000F3D5D" w:rsidP="000F3D5D">
      <w:pPr>
        <w:pStyle w:val="Heading1"/>
        <w:rPr>
          <w:lang w:val="fr-FR"/>
        </w:rPr>
      </w:pPr>
      <w:bookmarkStart w:id="2" w:name="_Toc197709450"/>
      <w:r>
        <w:rPr>
          <w:lang w:val="fr-FR"/>
        </w:rPr>
        <w:lastRenderedPageBreak/>
        <w:t>Sommaire</w:t>
      </w:r>
      <w:bookmarkEnd w:id="2"/>
    </w:p>
    <w:p w14:paraId="0A3A2118" w14:textId="77777777" w:rsidR="000F3D5D" w:rsidRPr="000F3D5D" w:rsidRDefault="000F3D5D" w:rsidP="000F3D5D">
      <w:pPr>
        <w:pStyle w:val="Heading1"/>
        <w:rPr>
          <w:lang w:val="fr-FR"/>
        </w:rPr>
      </w:pPr>
    </w:p>
    <w:p w14:paraId="39D4EF1B" w14:textId="77777777" w:rsidR="000F3D5D" w:rsidRDefault="000F3D5D" w:rsidP="000F3D5D">
      <w:pPr>
        <w:spacing w:before="120" w:after="0" w:line="264" w:lineRule="auto"/>
        <w:jc w:val="left"/>
        <w:rPr>
          <w:lang w:val="fr-FR"/>
        </w:rPr>
      </w:pPr>
    </w:p>
    <w:p w14:paraId="5F3751FE" w14:textId="77777777" w:rsidR="000F3D5D" w:rsidRDefault="000F3D5D" w:rsidP="000F3D5D">
      <w:pPr>
        <w:spacing w:before="120" w:after="0" w:line="264" w:lineRule="auto"/>
        <w:jc w:val="left"/>
        <w:rPr>
          <w:lang w:val="fr-FR"/>
        </w:rPr>
      </w:pPr>
    </w:p>
    <w:p w14:paraId="17421A46" w14:textId="77777777" w:rsidR="000F3D5D" w:rsidRDefault="000F3D5D">
      <w:pPr>
        <w:spacing w:before="120" w:after="0" w:line="264" w:lineRule="auto"/>
        <w:jc w:val="left"/>
        <w:rPr>
          <w:lang w:val="fr-FR"/>
        </w:rPr>
      </w:pPr>
      <w:r>
        <w:rPr>
          <w:lang w:val="fr-FR"/>
        </w:rPr>
        <w:br w:type="page"/>
      </w:r>
    </w:p>
    <w:p w14:paraId="6C0F576C" w14:textId="2CED3754" w:rsidR="000F3D5D" w:rsidRDefault="000F3D5D" w:rsidP="000F3D5D">
      <w:pPr>
        <w:pStyle w:val="Heading1"/>
        <w:rPr>
          <w:lang w:val="fr-FR"/>
        </w:rPr>
      </w:pPr>
      <w:bookmarkStart w:id="3" w:name="_Toc197709451"/>
      <w:r>
        <w:rPr>
          <w:lang w:val="fr-FR"/>
        </w:rPr>
        <w:lastRenderedPageBreak/>
        <w:t>Remerciements</w:t>
      </w:r>
      <w:bookmarkEnd w:id="3"/>
      <w:r>
        <w:rPr>
          <w:lang w:val="fr-FR"/>
        </w:rPr>
        <w:t xml:space="preserve"> </w:t>
      </w:r>
    </w:p>
    <w:p w14:paraId="59073556" w14:textId="66C06504" w:rsidR="000F3D5D" w:rsidRDefault="00CD493A" w:rsidP="00CD493A">
      <w:pPr>
        <w:ind w:firstLine="720"/>
        <w:rPr>
          <w:rFonts w:eastAsiaTheme="majorEastAsia"/>
          <w:lang w:val="fr-FR"/>
        </w:rPr>
      </w:pPr>
      <w:r>
        <w:rPr>
          <w:rFonts w:eastAsiaTheme="majorEastAsia"/>
          <w:lang w:val="fr-FR"/>
        </w:rPr>
        <w:t xml:space="preserve">Remerciements à Jean-François GIRRES (enseignant-chercheur à l’UMR </w:t>
      </w:r>
      <w:r w:rsidR="00EC27A9">
        <w:rPr>
          <w:rFonts w:eastAsiaTheme="majorEastAsia"/>
          <w:lang w:val="fr-FR"/>
        </w:rPr>
        <w:t>ESPACE-DEV</w:t>
      </w:r>
      <w:r>
        <w:rPr>
          <w:rFonts w:eastAsiaTheme="majorEastAsia"/>
          <w:lang w:val="fr-FR"/>
        </w:rPr>
        <w:t>) pour nous avoir aiguillé dans notre gestion de projet</w:t>
      </w:r>
      <w:r w:rsidR="00C75B20">
        <w:rPr>
          <w:rFonts w:eastAsiaTheme="majorEastAsia"/>
          <w:lang w:val="fr-FR"/>
        </w:rPr>
        <w:t>.</w:t>
      </w:r>
    </w:p>
    <w:p w14:paraId="620C196C" w14:textId="362D7516" w:rsidR="00CD493A" w:rsidRDefault="00CD493A" w:rsidP="00CD493A">
      <w:pPr>
        <w:ind w:firstLine="720"/>
        <w:rPr>
          <w:rFonts w:eastAsiaTheme="majorEastAsia"/>
          <w:lang w:val="fr-FR"/>
        </w:rPr>
      </w:pPr>
      <w:r>
        <w:rPr>
          <w:rFonts w:eastAsiaTheme="majorEastAsia"/>
          <w:lang w:val="fr-FR"/>
        </w:rPr>
        <w:t xml:space="preserve">Remerciements à Elodie </w:t>
      </w:r>
      <w:r w:rsidR="00C75B20">
        <w:rPr>
          <w:rFonts w:eastAsiaTheme="majorEastAsia"/>
          <w:lang w:val="fr-FR"/>
        </w:rPr>
        <w:t>FACHE</w:t>
      </w:r>
      <w:r>
        <w:rPr>
          <w:rFonts w:eastAsiaTheme="majorEastAsia"/>
          <w:lang w:val="fr-FR"/>
        </w:rPr>
        <w:t xml:space="preserve"> (Responsable au sein d</w:t>
      </w:r>
      <w:r w:rsidR="0081753B">
        <w:rPr>
          <w:rFonts w:eastAsiaTheme="majorEastAsia"/>
          <w:lang w:val="fr-FR"/>
        </w:rPr>
        <w:t>e l’</w:t>
      </w:r>
      <w:r>
        <w:rPr>
          <w:rFonts w:eastAsiaTheme="majorEastAsia"/>
          <w:lang w:val="fr-FR"/>
        </w:rPr>
        <w:t xml:space="preserve">UMR SENS du projet SocPacific2R) pour nous avoir offert cette opportunité, pour sa présence et pour avoir partagé avec nous ses connaissances des passes récifales du Pacifique Sud. </w:t>
      </w:r>
    </w:p>
    <w:p w14:paraId="67E33B10" w14:textId="2C4B51A4" w:rsidR="00CD493A" w:rsidRDefault="00CD493A" w:rsidP="00CD493A">
      <w:pPr>
        <w:ind w:firstLine="720"/>
        <w:rPr>
          <w:rFonts w:eastAsiaTheme="majorEastAsia"/>
          <w:lang w:val="fr-FR"/>
        </w:rPr>
      </w:pPr>
      <w:r>
        <w:rPr>
          <w:rFonts w:eastAsiaTheme="majorEastAsia"/>
          <w:lang w:val="fr-FR"/>
        </w:rPr>
        <w:t xml:space="preserve">Remerciements à </w:t>
      </w:r>
      <w:proofErr w:type="spellStart"/>
      <w:r>
        <w:rPr>
          <w:rFonts w:eastAsiaTheme="majorEastAsia"/>
          <w:lang w:val="fr-FR"/>
        </w:rPr>
        <w:t>Auréa</w:t>
      </w:r>
      <w:proofErr w:type="spellEnd"/>
      <w:r>
        <w:rPr>
          <w:rFonts w:eastAsiaTheme="majorEastAsia"/>
          <w:lang w:val="fr-FR"/>
        </w:rPr>
        <w:t xml:space="preserve"> </w:t>
      </w:r>
      <w:r w:rsidR="00C75B20">
        <w:rPr>
          <w:rFonts w:eastAsiaTheme="majorEastAsia"/>
          <w:lang w:val="fr-FR"/>
        </w:rPr>
        <w:t>POTTIER</w:t>
      </w:r>
      <w:r>
        <w:rPr>
          <w:rFonts w:eastAsiaTheme="majorEastAsia"/>
          <w:lang w:val="fr-FR"/>
        </w:rPr>
        <w:t xml:space="preserve"> (Membre de l’équipe</w:t>
      </w:r>
      <w:r w:rsidR="00C75B20">
        <w:rPr>
          <w:rFonts w:eastAsiaTheme="majorEastAsia"/>
          <w:lang w:val="fr-FR"/>
        </w:rPr>
        <w:t xml:space="preserve">, au sein de l’UMR SENS, du projet SocPacific2R) pour avoir été présente à chacune de nos réunions et pour avoir partagé avec nous ses idées. </w:t>
      </w:r>
    </w:p>
    <w:p w14:paraId="7E1E6A1B" w14:textId="79EA606B" w:rsidR="00C75B20" w:rsidRDefault="00C75B20" w:rsidP="00CD493A">
      <w:pPr>
        <w:ind w:firstLine="720"/>
        <w:rPr>
          <w:rFonts w:eastAsiaTheme="majorEastAsia"/>
          <w:lang w:val="fr-FR"/>
        </w:rPr>
      </w:pPr>
      <w:r>
        <w:rPr>
          <w:rFonts w:eastAsiaTheme="majorEastAsia"/>
          <w:lang w:val="fr-FR"/>
        </w:rPr>
        <w:t xml:space="preserve">Remerciements à Annette BRECKWOLDT (Responsable au sein du ZMT du projet SocPacific2R), Stéphanie </w:t>
      </w:r>
      <w:r w:rsidR="00372D5B" w:rsidRPr="00372D5B">
        <w:rPr>
          <w:rFonts w:eastAsiaTheme="majorEastAsia"/>
          <w:lang w:val="fr-FR"/>
        </w:rPr>
        <w:t xml:space="preserve">CARRIÈRE </w:t>
      </w:r>
      <w:r>
        <w:rPr>
          <w:rFonts w:eastAsiaTheme="majorEastAsia"/>
          <w:lang w:val="fr-FR"/>
        </w:rPr>
        <w:t>et Catherine SABINOT (Membres de l’équipe, au sein de l’UMR SENS, du projet SocPacific2R) pour leur</w:t>
      </w:r>
      <w:r w:rsidR="008513C1">
        <w:rPr>
          <w:rFonts w:eastAsiaTheme="majorEastAsia"/>
          <w:lang w:val="fr-FR"/>
        </w:rPr>
        <w:t>s</w:t>
      </w:r>
      <w:r>
        <w:rPr>
          <w:rFonts w:eastAsiaTheme="majorEastAsia"/>
          <w:lang w:val="fr-FR"/>
        </w:rPr>
        <w:t xml:space="preserve"> remarques et suggestions qui nous ont permis d’affiner nos travaux de recensement et l’interface web-cartographique. </w:t>
      </w:r>
    </w:p>
    <w:p w14:paraId="20B12A24" w14:textId="77777777" w:rsidR="00372D5B" w:rsidRDefault="00372D5B">
      <w:pPr>
        <w:spacing w:before="120" w:after="0" w:line="264" w:lineRule="auto"/>
        <w:jc w:val="left"/>
        <w:rPr>
          <w:rFonts w:eastAsiaTheme="majorEastAsia"/>
          <w:lang w:val="fr-FR"/>
        </w:rPr>
      </w:pPr>
      <w:r>
        <w:rPr>
          <w:rFonts w:eastAsiaTheme="majorEastAsia"/>
          <w:lang w:val="fr-FR"/>
        </w:rPr>
        <w:br/>
      </w:r>
    </w:p>
    <w:p w14:paraId="6E272255" w14:textId="77777777" w:rsidR="00372D5B" w:rsidRDefault="00372D5B">
      <w:pPr>
        <w:spacing w:before="120" w:after="0" w:line="264" w:lineRule="auto"/>
        <w:jc w:val="left"/>
        <w:rPr>
          <w:rFonts w:eastAsiaTheme="majorEastAsia"/>
          <w:lang w:val="fr-FR"/>
        </w:rPr>
      </w:pPr>
      <w:r>
        <w:rPr>
          <w:rFonts w:eastAsiaTheme="majorEastAsia"/>
          <w:lang w:val="fr-FR"/>
        </w:rPr>
        <w:br w:type="page"/>
      </w:r>
    </w:p>
    <w:p w14:paraId="17E1DDB7" w14:textId="77777777" w:rsidR="00372D5B" w:rsidRDefault="00372D5B" w:rsidP="00372D5B">
      <w:pPr>
        <w:pStyle w:val="Heading1"/>
        <w:rPr>
          <w:lang w:val="fr-FR"/>
        </w:rPr>
      </w:pPr>
      <w:r>
        <w:rPr>
          <w:lang w:val="fr-FR"/>
        </w:rPr>
        <w:lastRenderedPageBreak/>
        <w:t>Introduction</w:t>
      </w:r>
    </w:p>
    <w:p w14:paraId="1649E13D" w14:textId="7DFBC578"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Dans le cadre de la formation de Master Géomatique des Université de Montpellier, Montpellier III Paul Valéry et de AgroParisTech, nous avons eu à réaliser un projet tuteuré dans le but d’élargir et approfondir nos connaissances et compétences de géomaticiens. Le sujet de ce projet nous a été proposé parmi un corpus de 10 sujets variés et a retenu notre attention pour l’aspect transdisciplinaire du projet principal, le milieu étudié et les compétences requises. De plus, ce sujet de projet tuteuré permettait de suivre la chaîne complète de l’information géographique</w:t>
      </w:r>
      <w:r>
        <w:rPr>
          <w:rStyle w:val="FootnoteReference"/>
          <w:rFonts w:eastAsiaTheme="majorEastAsia"/>
          <w:sz w:val="20"/>
          <w:szCs w:val="20"/>
          <w:lang w:val="fr-FR"/>
        </w:rPr>
        <w:footnoteReference w:id="1"/>
      </w:r>
      <w:r w:rsidRPr="00EF0A65">
        <w:rPr>
          <w:rFonts w:eastAsiaTheme="majorEastAsia"/>
          <w:sz w:val="20"/>
          <w:szCs w:val="20"/>
          <w:lang w:val="fr-FR"/>
        </w:rPr>
        <w:t>. C’est donc naturellement que nous avons sélectionné le sujet « SOCPacific2R, analyse des passes récifales à Fidji, en Nouvelle-Calédonie et en Polynésie française » (</w:t>
      </w:r>
      <w:r w:rsidRPr="00EF0A65">
        <w:rPr>
          <w:rFonts w:eastAsiaTheme="majorEastAsia"/>
          <w:sz w:val="20"/>
          <w:szCs w:val="20"/>
          <w:highlight w:val="yellow"/>
          <w:lang w:val="fr-FR"/>
        </w:rPr>
        <w:t>cf. Annexe 1</w:t>
      </w:r>
      <w:r w:rsidRPr="00EF0A65">
        <w:rPr>
          <w:rFonts w:eastAsiaTheme="majorEastAsia"/>
          <w:sz w:val="20"/>
          <w:szCs w:val="20"/>
          <w:lang w:val="fr-FR"/>
        </w:rPr>
        <w:t xml:space="preserve"> -&gt; feuille descriptive du sujet).</w:t>
      </w:r>
    </w:p>
    <w:p w14:paraId="2B5295E9"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w:t>
      </w:r>
      <w:r w:rsidRPr="00EF0A65">
        <w:rPr>
          <w:rFonts w:eastAsiaTheme="majorEastAsia"/>
          <w:sz w:val="20"/>
          <w:szCs w:val="20"/>
          <w:lang w:val="fr-FR"/>
        </w:rPr>
        <w:tab/>
        <w:t>Le projet SocPacific2R vise à mieux comprendre les espaces complexes que sont les passes récifales, à cerner les enjeux qui gravitent autour et à établir un dialogue participatif et transdisciplinaire entre les acteurs concernés pour mieux valoriser et conserver ces milieux. En effet, dans le contexte du Pacifique Sud, les passes récifales constituent des espaces maritimes à forts enjeux et à enjeux multiples. Elles jouent un rôle écologique essentiel, en facilitant notamment l’accès aux lagons pour certaines espèces de poissons pélagiques ou encore aux plages de ponte pour les tortues marines. Par ailleurs, ces passages peuvent revêtir une dimension sociale, culturelle ou spirituelle, pouvant influencer ou expliquer, par exemple, la localisation de villages ou installations humaines le long des littoraux. D’un point de vue économique, les passes récifales représentent également des points d’accès stratégiques à la haute mer, notamment pour les activités de pêche ou de transport maritime. Ces fonctions ne sont pas exclusives les unes des autres : une même passe peut cumuler plusieurs usages et valeurs pour les communautés locales. Dès lors, l’élaboration d’une typologie des passes récifales ne vise pas uniquement une classification descriptive, mais doit permettre une meilleure compréhension de la diversité de leurs usages et de leurs fonctions. Cela pourrait ainsi contribuer à la mise en œuvre de dispositifs de gestion et de conservation plus sensibles aux spécificités locales, en conciliant préservation écologique et reconnaissance des pratiques et besoins des acteurs concernés.</w:t>
      </w:r>
    </w:p>
    <w:p w14:paraId="1A4DE0B1"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xml:space="preserve">C’est donc dans ce cadre, et avec l’appui d’Élodie </w:t>
      </w:r>
      <w:proofErr w:type="spellStart"/>
      <w:r w:rsidRPr="00EF0A65">
        <w:rPr>
          <w:rFonts w:eastAsiaTheme="majorEastAsia"/>
          <w:sz w:val="20"/>
          <w:szCs w:val="20"/>
          <w:lang w:val="fr-FR"/>
        </w:rPr>
        <w:t>Fache</w:t>
      </w:r>
      <w:proofErr w:type="spellEnd"/>
      <w:r w:rsidRPr="00EF0A65">
        <w:rPr>
          <w:rFonts w:eastAsiaTheme="majorEastAsia"/>
          <w:sz w:val="20"/>
          <w:szCs w:val="20"/>
          <w:lang w:val="fr-FR"/>
        </w:rPr>
        <w:t xml:space="preserve">, </w:t>
      </w:r>
      <w:proofErr w:type="spellStart"/>
      <w:r w:rsidRPr="00EF0A65">
        <w:rPr>
          <w:rFonts w:eastAsiaTheme="majorEastAsia"/>
          <w:sz w:val="20"/>
          <w:szCs w:val="20"/>
          <w:lang w:val="fr-FR"/>
        </w:rPr>
        <w:t>Auréa</w:t>
      </w:r>
      <w:proofErr w:type="spellEnd"/>
      <w:r w:rsidRPr="00EF0A65">
        <w:rPr>
          <w:rFonts w:eastAsiaTheme="majorEastAsia"/>
          <w:sz w:val="20"/>
          <w:szCs w:val="20"/>
          <w:lang w:val="fr-FR"/>
        </w:rPr>
        <w:t xml:space="preserve"> Pottier, et Stéphanie Carrière (chercheuses à l’UMR SENS, IRD), Jean-François </w:t>
      </w:r>
      <w:proofErr w:type="spellStart"/>
      <w:r w:rsidRPr="00EF0A65">
        <w:rPr>
          <w:rFonts w:eastAsiaTheme="majorEastAsia"/>
          <w:sz w:val="20"/>
          <w:szCs w:val="20"/>
          <w:lang w:val="fr-FR"/>
        </w:rPr>
        <w:t>Girres</w:t>
      </w:r>
      <w:proofErr w:type="spellEnd"/>
      <w:r w:rsidRPr="00EF0A65">
        <w:rPr>
          <w:rFonts w:eastAsiaTheme="majorEastAsia"/>
          <w:sz w:val="20"/>
          <w:szCs w:val="20"/>
          <w:lang w:val="fr-FR"/>
        </w:rPr>
        <w:t xml:space="preserve"> (chercheur à l’UMR Espace-Dev, IRD) et Annette </w:t>
      </w:r>
      <w:proofErr w:type="spellStart"/>
      <w:r w:rsidRPr="00EF0A65">
        <w:rPr>
          <w:rFonts w:eastAsiaTheme="majorEastAsia"/>
          <w:sz w:val="20"/>
          <w:szCs w:val="20"/>
          <w:lang w:val="fr-FR"/>
        </w:rPr>
        <w:t>Breckwoldt</w:t>
      </w:r>
      <w:proofErr w:type="spellEnd"/>
      <w:r w:rsidRPr="00EF0A65">
        <w:rPr>
          <w:rFonts w:eastAsiaTheme="majorEastAsia"/>
          <w:sz w:val="20"/>
          <w:szCs w:val="20"/>
          <w:lang w:val="fr-FR"/>
        </w:rPr>
        <w:t xml:space="preserve"> (chercheuse au ZMT) que nous nous sommes vus attribuer la mission d’inventorier les passes récifales de Fidji, Nouvelle-Calédonie et Polynésie Française. </w:t>
      </w:r>
    </w:p>
    <w:p w14:paraId="38B19FFF" w14:textId="77777777" w:rsidR="00EF0A65" w:rsidRPr="00EF0A65" w:rsidRDefault="00EF0A65" w:rsidP="00EF0A65">
      <w:pPr>
        <w:spacing w:line="360" w:lineRule="auto"/>
        <w:rPr>
          <w:rFonts w:eastAsiaTheme="majorEastAsia"/>
          <w:b/>
          <w:bCs/>
          <w:sz w:val="20"/>
          <w:szCs w:val="20"/>
          <w:lang w:val="fr-FR"/>
        </w:rPr>
      </w:pPr>
      <w:r w:rsidRPr="00EF0A65">
        <w:rPr>
          <w:rFonts w:eastAsiaTheme="majorEastAsia"/>
          <w:sz w:val="20"/>
          <w:szCs w:val="20"/>
          <w:lang w:val="fr-FR"/>
        </w:rPr>
        <w:t xml:space="preserve">       Afin de répondre aux objectifs du projet, nous avons, dans un premier temps, procédé à l’inventaire des passes récifales situées dans les archipels des Fidji, de Nouvelle-Calédonie et </w:t>
      </w:r>
      <w:r w:rsidRPr="00EF0A65">
        <w:rPr>
          <w:rFonts w:eastAsiaTheme="majorEastAsia"/>
          <w:sz w:val="20"/>
          <w:szCs w:val="20"/>
          <w:lang w:val="fr-FR"/>
        </w:rPr>
        <w:lastRenderedPageBreak/>
        <w:t>de la Polynésie française en mobilisant des outils de systèmes d'information géographique (SIG). Dans un second temps, nous avons cherché à enrichir la description de ces passes à l’aide d’indicateurs complémentaires visant à améliorer la compréhension de leurs fonctions et de leurs usages. Enfin, les données ainsi produites ont été intégrées au sein d’une interface web cartographique, conçue à l’aide d’une architecture simple en HTML, CSS et JavaScript. Cette plateforme interactive permet de rendre accessibles, de manière structurée et lisible, les informations spécifiques à chaque passe récifale.</w:t>
      </w:r>
    </w:p>
    <w:p w14:paraId="2B252B95" w14:textId="2EB4C2FF" w:rsidR="00C75B20" w:rsidRDefault="00C75B20" w:rsidP="00372D5B">
      <w:pPr>
        <w:rPr>
          <w:rFonts w:eastAsiaTheme="majorEastAsia"/>
          <w:lang w:val="fr-FR"/>
        </w:rPr>
      </w:pPr>
      <w:r>
        <w:rPr>
          <w:rFonts w:eastAsiaTheme="majorEastAsia"/>
          <w:lang w:val="fr-FR"/>
        </w:rPr>
        <w:br w:type="page"/>
      </w:r>
    </w:p>
    <w:p w14:paraId="37A5DA58" w14:textId="09B6C23C" w:rsidR="00C75B20" w:rsidRDefault="00C75B20" w:rsidP="00C75B20">
      <w:pPr>
        <w:pStyle w:val="Heading1"/>
        <w:rPr>
          <w:lang w:val="fr-FR"/>
        </w:rPr>
      </w:pPr>
      <w:r>
        <w:rPr>
          <w:lang w:val="fr-FR"/>
        </w:rPr>
        <w:lastRenderedPageBreak/>
        <w:t>Contexte</w:t>
      </w:r>
    </w:p>
    <w:p w14:paraId="3AC8C8FC" w14:textId="5F578281" w:rsidR="00372D5B" w:rsidRDefault="00372D5B" w:rsidP="00372D5B">
      <w:pPr>
        <w:pStyle w:val="Heading2"/>
        <w:numPr>
          <w:ilvl w:val="0"/>
          <w:numId w:val="46"/>
        </w:numPr>
        <w:rPr>
          <w:rFonts w:eastAsiaTheme="majorEastAsia"/>
          <w:lang w:val="fr-FR"/>
        </w:rPr>
      </w:pPr>
      <w:r>
        <w:rPr>
          <w:rFonts w:eastAsiaTheme="majorEastAsia"/>
          <w:lang w:val="fr-FR"/>
        </w:rPr>
        <w:t xml:space="preserve">Organisme Commanditaire </w:t>
      </w:r>
    </w:p>
    <w:p w14:paraId="7AFCA1F7" w14:textId="3453CB4E" w:rsidR="003046F5" w:rsidRPr="00EF0A65" w:rsidRDefault="003046F5" w:rsidP="00EF0A65">
      <w:pPr>
        <w:spacing w:line="360" w:lineRule="auto"/>
        <w:ind w:firstLine="360"/>
        <w:rPr>
          <w:rFonts w:ascii="Times New Roman" w:eastAsia="Times New Roman" w:hAnsi="Times New Roman" w:cs="Times New Roman"/>
          <w:color w:val="auto"/>
          <w:sz w:val="20"/>
          <w:szCs w:val="20"/>
          <w:lang w:val="fr-FR" w:eastAsia="en-GB"/>
        </w:rPr>
      </w:pPr>
      <w:r w:rsidRPr="00EF0A65">
        <w:rPr>
          <w:rFonts w:eastAsia="Times New Roman"/>
          <w:sz w:val="20"/>
          <w:szCs w:val="20"/>
          <w:lang w:val="fr-FR" w:eastAsia="en-GB"/>
        </w:rPr>
        <w:t xml:space="preserve">SOCPacific2R est un projet basé sur une coopération entre 3 équipes (cf. figure 1) venant respectivement de l’Université Pacifique Sud (USP), du Leibniz Centre for Tropical Marine </w:t>
      </w:r>
      <w:proofErr w:type="spellStart"/>
      <w:r w:rsidRPr="00EF0A65">
        <w:rPr>
          <w:rFonts w:eastAsia="Times New Roman"/>
          <w:sz w:val="20"/>
          <w:szCs w:val="20"/>
          <w:lang w:val="fr-FR" w:eastAsia="en-GB"/>
        </w:rPr>
        <w:t>Research</w:t>
      </w:r>
      <w:proofErr w:type="spellEnd"/>
      <w:r w:rsidRPr="00EF0A65">
        <w:rPr>
          <w:rFonts w:eastAsia="Times New Roman"/>
          <w:sz w:val="20"/>
          <w:szCs w:val="20"/>
          <w:lang w:val="fr-FR" w:eastAsia="en-GB"/>
        </w:rPr>
        <w:t xml:space="preserve"> (ZMT) en Allemagne et de l’Institut national de Recherche pour le Développement en France (IRD). En outre, il bénéficie du soutien ponctuel d’étudiants ou d’autres personnes externes et d’un groupe consultatif.</w:t>
      </w:r>
    </w:p>
    <w:p w14:paraId="6FFF8D6D" w14:textId="2907AFF1" w:rsidR="003046F5" w:rsidRPr="00EF0A65" w:rsidRDefault="003046F5" w:rsidP="00EF0A65">
      <w:pPr>
        <w:spacing w:line="360" w:lineRule="auto"/>
        <w:ind w:firstLine="360"/>
        <w:rPr>
          <w:rFonts w:ascii="Times New Roman" w:eastAsia="Times New Roman" w:hAnsi="Times New Roman" w:cs="Times New Roman"/>
          <w:color w:val="auto"/>
          <w:sz w:val="20"/>
          <w:szCs w:val="20"/>
          <w:lang w:val="fr-FR" w:eastAsia="en-GB"/>
        </w:rPr>
      </w:pPr>
      <w:r w:rsidRPr="00EF0A65">
        <w:rPr>
          <w:rFonts w:eastAsia="Times New Roman"/>
          <w:sz w:val="20"/>
          <w:szCs w:val="20"/>
          <w:lang w:val="fr-FR" w:eastAsia="en-GB"/>
        </w:rPr>
        <w:t>SOCPacific2R a émergé</w:t>
      </w:r>
      <w:r w:rsidRPr="00EF0A65">
        <w:rPr>
          <w:rFonts w:eastAsia="Times New Roman"/>
          <w:sz w:val="20"/>
          <w:szCs w:val="20"/>
          <w:shd w:val="clear" w:color="auto" w:fill="FFFFFF"/>
          <w:lang w:val="fr-FR" w:eastAsia="en-GB"/>
        </w:rPr>
        <w:t xml:space="preserve"> en septembre 2024</w:t>
      </w:r>
      <w:r w:rsidRPr="00EF0A65">
        <w:rPr>
          <w:rFonts w:eastAsia="Times New Roman"/>
          <w:sz w:val="20"/>
          <w:szCs w:val="20"/>
          <w:lang w:val="fr-FR" w:eastAsia="en-GB"/>
        </w:rPr>
        <w:t xml:space="preserve"> du projet de recherche interdisciplinaire </w:t>
      </w:r>
      <w:r w:rsidRPr="00EF0A65">
        <w:rPr>
          <w:rFonts w:eastAsia="Times New Roman"/>
          <w:sz w:val="20"/>
          <w:szCs w:val="20"/>
          <w:shd w:val="clear" w:color="auto" w:fill="FFFFFF"/>
          <w:lang w:val="fr-FR" w:eastAsia="en-GB"/>
        </w:rPr>
        <w:t xml:space="preserve">‘A </w:t>
      </w:r>
      <w:proofErr w:type="spellStart"/>
      <w:r w:rsidRPr="00EF0A65">
        <w:rPr>
          <w:rFonts w:eastAsia="Times New Roman"/>
          <w:sz w:val="20"/>
          <w:szCs w:val="20"/>
          <w:shd w:val="clear" w:color="auto" w:fill="FFFFFF"/>
          <w:lang w:val="fr-FR" w:eastAsia="en-GB"/>
        </w:rPr>
        <w:t>Sea</w:t>
      </w:r>
      <w:proofErr w:type="spellEnd"/>
      <w:r w:rsidRPr="00EF0A65">
        <w:rPr>
          <w:rFonts w:eastAsia="Times New Roman"/>
          <w:sz w:val="20"/>
          <w:szCs w:val="20"/>
          <w:shd w:val="clear" w:color="auto" w:fill="FFFFFF"/>
          <w:lang w:val="fr-FR" w:eastAsia="en-GB"/>
        </w:rPr>
        <w:t xml:space="preserve"> of Connections: </w:t>
      </w:r>
      <w:proofErr w:type="spellStart"/>
      <w:r w:rsidRPr="00EF0A65">
        <w:rPr>
          <w:rFonts w:eastAsia="Times New Roman"/>
          <w:sz w:val="20"/>
          <w:szCs w:val="20"/>
          <w:shd w:val="clear" w:color="auto" w:fill="FFFFFF"/>
          <w:lang w:val="fr-FR" w:eastAsia="en-GB"/>
        </w:rPr>
        <w:t>Contextualizing</w:t>
      </w:r>
      <w:proofErr w:type="spellEnd"/>
      <w:r w:rsidRPr="00EF0A65">
        <w:rPr>
          <w:rFonts w:eastAsia="Times New Roman"/>
          <w:sz w:val="20"/>
          <w:szCs w:val="20"/>
          <w:shd w:val="clear" w:color="auto" w:fill="FFFFFF"/>
          <w:lang w:val="fr-FR" w:eastAsia="en-GB"/>
        </w:rPr>
        <w:t xml:space="preserve"> </w:t>
      </w:r>
      <w:proofErr w:type="spellStart"/>
      <w:r w:rsidRPr="00EF0A65">
        <w:rPr>
          <w:rFonts w:eastAsia="Times New Roman"/>
          <w:sz w:val="20"/>
          <w:szCs w:val="20"/>
          <w:shd w:val="clear" w:color="auto" w:fill="FFFFFF"/>
          <w:lang w:val="fr-FR" w:eastAsia="en-GB"/>
        </w:rPr>
        <w:t>Fisheries</w:t>
      </w:r>
      <w:proofErr w:type="spellEnd"/>
      <w:r w:rsidRPr="00EF0A65">
        <w:rPr>
          <w:rFonts w:eastAsia="Times New Roman"/>
          <w:sz w:val="20"/>
          <w:szCs w:val="20"/>
          <w:shd w:val="clear" w:color="auto" w:fill="FFFFFF"/>
          <w:lang w:val="fr-FR" w:eastAsia="en-GB"/>
        </w:rPr>
        <w:t xml:space="preserve"> in the South Pacific </w:t>
      </w:r>
      <w:proofErr w:type="spellStart"/>
      <w:r w:rsidRPr="00EF0A65">
        <w:rPr>
          <w:rFonts w:eastAsia="Times New Roman"/>
          <w:sz w:val="20"/>
          <w:szCs w:val="20"/>
          <w:shd w:val="clear" w:color="auto" w:fill="FFFFFF"/>
          <w:lang w:val="fr-FR" w:eastAsia="en-GB"/>
        </w:rPr>
        <w:t>Region</w:t>
      </w:r>
      <w:proofErr w:type="spellEnd"/>
      <w:r w:rsidRPr="00EF0A65">
        <w:rPr>
          <w:rFonts w:eastAsia="Times New Roman"/>
          <w:sz w:val="20"/>
          <w:szCs w:val="20"/>
          <w:shd w:val="clear" w:color="auto" w:fill="FFFFFF"/>
          <w:lang w:val="fr-FR" w:eastAsia="en-GB"/>
        </w:rPr>
        <w:t>’ (</w:t>
      </w:r>
      <w:proofErr w:type="spellStart"/>
      <w:r w:rsidRPr="00EF0A65">
        <w:rPr>
          <w:rFonts w:eastAsia="Times New Roman"/>
          <w:sz w:val="20"/>
          <w:szCs w:val="20"/>
          <w:shd w:val="clear" w:color="auto" w:fill="FFFFFF"/>
          <w:lang w:val="fr-FR" w:eastAsia="en-GB"/>
        </w:rPr>
        <w:t>SOCPacific</w:t>
      </w:r>
      <w:proofErr w:type="spellEnd"/>
      <w:r w:rsidRPr="00EF0A65">
        <w:rPr>
          <w:rFonts w:eastAsia="Times New Roman"/>
          <w:sz w:val="20"/>
          <w:szCs w:val="20"/>
          <w:shd w:val="clear" w:color="auto" w:fill="FFFFFF"/>
          <w:lang w:val="fr-FR" w:eastAsia="en-GB"/>
        </w:rPr>
        <w:t>) et s’inscrit dans la continuité de ce dernier. Financé par l’IRD, SOCPacific2R devrait prendre fin en septembre 2027 si aucune demande de prolongation n’est faite avant février 2027.</w:t>
      </w:r>
    </w:p>
    <w:p w14:paraId="36FD48C0" w14:textId="146F01DE" w:rsidR="003046F5" w:rsidRDefault="003046F5" w:rsidP="003046F5">
      <w:pPr>
        <w:pStyle w:val="ListParagraph"/>
        <w:spacing w:before="240" w:after="240" w:line="240" w:lineRule="auto"/>
        <w:ind w:left="2520" w:firstLine="360"/>
        <w:rPr>
          <w:rFonts w:eastAsia="Times New Roman" w:cs="Arial"/>
          <w:i/>
          <w:iCs/>
          <w:color w:val="000000"/>
          <w:spacing w:val="0"/>
          <w:lang w:val="en-GB" w:eastAsia="en-GB"/>
        </w:rPr>
      </w:pPr>
      <w:r>
        <w:rPr>
          <w:rFonts w:cs="Arial"/>
          <w:noProof/>
          <w:color w:val="000000"/>
          <w:bdr w:val="none" w:sz="0" w:space="0" w:color="auto" w:frame="1"/>
        </w:rPr>
        <w:drawing>
          <wp:anchor distT="0" distB="0" distL="114300" distR="114300" simplePos="0" relativeHeight="251668480" behindDoc="1" locked="0" layoutInCell="1" allowOverlap="1" wp14:anchorId="6EC3057C" wp14:editId="01A74E62">
            <wp:simplePos x="0" y="0"/>
            <wp:positionH relativeFrom="margin">
              <wp:align>center</wp:align>
            </wp:positionH>
            <wp:positionV relativeFrom="paragraph">
              <wp:posOffset>221615</wp:posOffset>
            </wp:positionV>
            <wp:extent cx="4581525" cy="3819525"/>
            <wp:effectExtent l="0" t="0" r="9525" b="9525"/>
            <wp:wrapTight wrapText="bothSides">
              <wp:wrapPolygon edited="0">
                <wp:start x="0" y="0"/>
                <wp:lineTo x="0" y="21546"/>
                <wp:lineTo x="21555" y="21546"/>
                <wp:lineTo x="21555" y="0"/>
                <wp:lineTo x="0" y="0"/>
              </wp:wrapPolygon>
            </wp:wrapTight>
            <wp:docPr id="233087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819525"/>
                    </a:xfrm>
                    <a:prstGeom prst="rect">
                      <a:avLst/>
                    </a:prstGeom>
                    <a:noFill/>
                    <a:ln>
                      <a:noFill/>
                    </a:ln>
                  </pic:spPr>
                </pic:pic>
              </a:graphicData>
            </a:graphic>
          </wp:anchor>
        </w:drawing>
      </w:r>
    </w:p>
    <w:p w14:paraId="0A129B55" w14:textId="7FB66C8B" w:rsidR="003046F5" w:rsidRDefault="003046F5" w:rsidP="003046F5">
      <w:pPr>
        <w:pStyle w:val="ListParagraph"/>
        <w:spacing w:before="240" w:after="240" w:line="240" w:lineRule="auto"/>
        <w:ind w:left="2520" w:firstLine="360"/>
        <w:jc w:val="center"/>
        <w:rPr>
          <w:rFonts w:eastAsia="Times New Roman" w:cs="Arial"/>
          <w:i/>
          <w:iCs/>
          <w:color w:val="000000"/>
          <w:spacing w:val="0"/>
          <w:lang w:val="en-GB" w:eastAsia="en-GB"/>
        </w:rPr>
      </w:pPr>
    </w:p>
    <w:p w14:paraId="39E185CF" w14:textId="69EB58EF" w:rsidR="003046F5" w:rsidRPr="00FE70B1" w:rsidRDefault="00FE70B1" w:rsidP="00FE70B1">
      <w:pPr>
        <w:jc w:val="center"/>
        <w:rPr>
          <w:rFonts w:ascii="Times New Roman" w:eastAsia="Times New Roman" w:hAnsi="Times New Roman" w:cs="Times New Roman"/>
          <w:i/>
          <w:iCs/>
          <w:color w:val="auto"/>
          <w:sz w:val="24"/>
          <w:szCs w:val="24"/>
          <w:lang w:val="fr-FR" w:eastAsia="en-GB"/>
        </w:rPr>
      </w:pPr>
      <w:r w:rsidRPr="00FE70B1">
        <w:rPr>
          <w:rFonts w:eastAsia="Times New Roman"/>
          <w:i/>
          <w:iCs/>
          <w:lang w:val="fr-FR" w:eastAsia="en-GB"/>
        </w:rPr>
        <w:t>O</w:t>
      </w:r>
      <w:r w:rsidR="003046F5" w:rsidRPr="00FE70B1">
        <w:rPr>
          <w:rFonts w:eastAsia="Times New Roman"/>
          <w:i/>
          <w:iCs/>
          <w:lang w:val="fr-FR" w:eastAsia="en-GB"/>
        </w:rPr>
        <w:t>rganigramme de SOCPacific2R</w:t>
      </w:r>
      <w:r w:rsidRPr="00FE70B1">
        <w:rPr>
          <w:rFonts w:eastAsia="Times New Roman"/>
          <w:i/>
          <w:iCs/>
          <w:lang w:val="fr-FR" w:eastAsia="en-GB"/>
        </w:rPr>
        <w:t xml:space="preserve"> – Source :</w:t>
      </w:r>
      <w:r>
        <w:rPr>
          <w:rFonts w:eastAsia="Times New Roman"/>
          <w:i/>
          <w:iCs/>
          <w:lang w:val="fr-FR" w:eastAsia="en-GB"/>
        </w:rPr>
        <w:t xml:space="preserve"> </w:t>
      </w:r>
      <w:proofErr w:type="spellStart"/>
      <w:r>
        <w:rPr>
          <w:rFonts w:eastAsia="Times New Roman"/>
          <w:i/>
          <w:iCs/>
          <w:lang w:val="fr-FR" w:eastAsia="en-GB"/>
        </w:rPr>
        <w:t>SocPacific.link</w:t>
      </w:r>
      <w:proofErr w:type="spellEnd"/>
    </w:p>
    <w:p w14:paraId="70EA59A4" w14:textId="77777777" w:rsidR="00EF0A65" w:rsidRPr="00EF0A65" w:rsidRDefault="00EF0A65" w:rsidP="00EF0A65">
      <w:pPr>
        <w:pStyle w:val="NormalWeb"/>
        <w:spacing w:before="240" w:beforeAutospacing="0" w:after="240" w:afterAutospacing="0" w:line="360" w:lineRule="auto"/>
        <w:ind w:firstLine="360"/>
        <w:jc w:val="both"/>
        <w:rPr>
          <w:lang w:val="fr-FR"/>
        </w:rPr>
      </w:pPr>
      <w:r w:rsidRPr="00EF0A65">
        <w:rPr>
          <w:rFonts w:ascii="Arial" w:hAnsi="Arial" w:cs="Arial"/>
          <w:color w:val="000000"/>
          <w:sz w:val="20"/>
          <w:szCs w:val="20"/>
          <w:lang w:val="fr-FR"/>
        </w:rPr>
        <w:t xml:space="preserve">Le projet s’articule autour de trois grands axes, à savoir “réaliser une étude transdisciplinaire des passes récifales en tant qu’assemblage complexe”, “documenter et analyser les dispositifs de gestion appliqués à ces passes” et enfin “établir un dialogue participatif science-société-politique” autour de ces espaces. C’est pour répondre principalement aux premier et troisième objectifs qu’Élodie </w:t>
      </w:r>
      <w:proofErr w:type="spellStart"/>
      <w:r w:rsidRPr="00EF0A65">
        <w:rPr>
          <w:rFonts w:ascii="Arial" w:hAnsi="Arial" w:cs="Arial"/>
          <w:color w:val="000000"/>
          <w:sz w:val="20"/>
          <w:szCs w:val="20"/>
          <w:lang w:val="fr-FR"/>
        </w:rPr>
        <w:t>Fache</w:t>
      </w:r>
      <w:proofErr w:type="spellEnd"/>
      <w:r w:rsidRPr="00EF0A65">
        <w:rPr>
          <w:rFonts w:ascii="Arial" w:hAnsi="Arial" w:cs="Arial"/>
          <w:color w:val="000000"/>
          <w:sz w:val="20"/>
          <w:szCs w:val="20"/>
          <w:lang w:val="fr-FR"/>
        </w:rPr>
        <w:t xml:space="preserve"> et </w:t>
      </w:r>
      <w:proofErr w:type="spellStart"/>
      <w:r w:rsidRPr="00EF0A65">
        <w:rPr>
          <w:rFonts w:ascii="Arial" w:hAnsi="Arial" w:cs="Arial"/>
          <w:color w:val="000000"/>
          <w:sz w:val="20"/>
          <w:szCs w:val="20"/>
          <w:lang w:val="fr-FR"/>
        </w:rPr>
        <w:t>Auréa</w:t>
      </w:r>
      <w:proofErr w:type="spellEnd"/>
      <w:r w:rsidRPr="00EF0A65">
        <w:rPr>
          <w:rFonts w:ascii="Arial" w:hAnsi="Arial" w:cs="Arial"/>
          <w:color w:val="000000"/>
          <w:sz w:val="20"/>
          <w:szCs w:val="20"/>
          <w:lang w:val="fr-FR"/>
        </w:rPr>
        <w:t xml:space="preserve"> Pottier, membres de l’UMR SENS et de l’équipe francophone de SocPacific2R, nous ont proposé </w:t>
      </w:r>
      <w:r w:rsidRPr="00EF0A65">
        <w:rPr>
          <w:rFonts w:ascii="Arial" w:hAnsi="Arial" w:cs="Arial"/>
          <w:color w:val="000000"/>
          <w:sz w:val="20"/>
          <w:szCs w:val="20"/>
          <w:lang w:val="fr-FR"/>
        </w:rPr>
        <w:lastRenderedPageBreak/>
        <w:t>un sujet de projet tuteuré visant à établir une typologie des passes récifales, à les recenser et à les cartographier dans une interface web-cartographique. </w:t>
      </w:r>
    </w:p>
    <w:p w14:paraId="03C98415" w14:textId="671EEAFD" w:rsidR="00372D5B" w:rsidRDefault="00372D5B" w:rsidP="00372D5B">
      <w:pPr>
        <w:pStyle w:val="Heading2"/>
        <w:numPr>
          <w:ilvl w:val="0"/>
          <w:numId w:val="46"/>
        </w:numPr>
        <w:rPr>
          <w:rFonts w:eastAsiaTheme="majorEastAsia"/>
          <w:lang w:val="fr-FR"/>
        </w:rPr>
      </w:pPr>
      <w:r>
        <w:rPr>
          <w:rFonts w:eastAsiaTheme="majorEastAsia"/>
          <w:lang w:val="fr-FR"/>
        </w:rPr>
        <w:t>Mission</w:t>
      </w:r>
    </w:p>
    <w:p w14:paraId="359D58F1" w14:textId="48468187" w:rsidR="003046F5" w:rsidRPr="00EF0A65" w:rsidRDefault="003046F5" w:rsidP="003046F5">
      <w:pPr>
        <w:ind w:firstLine="360"/>
        <w:rPr>
          <w:rFonts w:ascii="Times New Roman" w:hAnsi="Times New Roman" w:cs="Times New Roman"/>
          <w:color w:val="auto"/>
          <w:spacing w:val="0"/>
          <w:sz w:val="20"/>
          <w:szCs w:val="20"/>
          <w:lang w:val="fr-FR"/>
        </w:rPr>
      </w:pPr>
      <w:r w:rsidRPr="00EF0A65">
        <w:rPr>
          <w:sz w:val="20"/>
          <w:szCs w:val="20"/>
          <w:lang w:val="fr-FR"/>
        </w:rPr>
        <w:t xml:space="preserve">Dans le cadre du projet </w:t>
      </w:r>
      <w:proofErr w:type="spellStart"/>
      <w:r w:rsidRPr="00EF0A65">
        <w:rPr>
          <w:sz w:val="20"/>
          <w:szCs w:val="20"/>
          <w:lang w:val="fr-FR"/>
        </w:rPr>
        <w:t>SOCPacific</w:t>
      </w:r>
      <w:proofErr w:type="spellEnd"/>
      <w:r w:rsidRPr="00EF0A65">
        <w:rPr>
          <w:sz w:val="20"/>
          <w:szCs w:val="20"/>
          <w:lang w:val="fr-FR"/>
        </w:rPr>
        <w:t xml:space="preserve">, antérieurement à notre </w:t>
      </w:r>
      <w:r w:rsidR="00B8453C" w:rsidRPr="00EF0A65">
        <w:rPr>
          <w:sz w:val="20"/>
          <w:szCs w:val="20"/>
          <w:lang w:val="fr-FR"/>
        </w:rPr>
        <w:t>implication</w:t>
      </w:r>
      <w:r w:rsidRPr="00EF0A65">
        <w:rPr>
          <w:sz w:val="20"/>
          <w:szCs w:val="20"/>
          <w:lang w:val="fr-FR"/>
        </w:rPr>
        <w:t xml:space="preserve">, une première typologie a été établie par Annette </w:t>
      </w:r>
      <w:proofErr w:type="spellStart"/>
      <w:r w:rsidRPr="00EF0A65">
        <w:rPr>
          <w:sz w:val="20"/>
          <w:szCs w:val="20"/>
          <w:lang w:val="fr-FR"/>
        </w:rPr>
        <w:t>Breckwoldt</w:t>
      </w:r>
      <w:proofErr w:type="spellEnd"/>
      <w:r w:rsidRPr="00EF0A65">
        <w:rPr>
          <w:sz w:val="20"/>
          <w:szCs w:val="20"/>
          <w:lang w:val="fr-FR"/>
        </w:rPr>
        <w:t xml:space="preserve"> et al. (ZMT) dans un article paru en 2022</w:t>
      </w:r>
      <w:r w:rsidR="00B8453C" w:rsidRPr="00EF0A65">
        <w:rPr>
          <w:sz w:val="20"/>
          <w:szCs w:val="20"/>
          <w:lang w:val="fr-FR"/>
        </w:rPr>
        <w:t xml:space="preserve">, </w:t>
      </w:r>
      <w:r w:rsidRPr="00EF0A65">
        <w:rPr>
          <w:i/>
          <w:iCs/>
          <w:sz w:val="20"/>
          <w:szCs w:val="20"/>
          <w:lang w:val="fr-FR"/>
        </w:rPr>
        <w:t xml:space="preserve">A </w:t>
      </w:r>
      <w:proofErr w:type="spellStart"/>
      <w:r w:rsidRPr="00EF0A65">
        <w:rPr>
          <w:i/>
          <w:iCs/>
          <w:sz w:val="20"/>
          <w:szCs w:val="20"/>
          <w:lang w:val="fr-FR"/>
        </w:rPr>
        <w:t>Typology</w:t>
      </w:r>
      <w:proofErr w:type="spellEnd"/>
      <w:r w:rsidRPr="00EF0A65">
        <w:rPr>
          <w:i/>
          <w:iCs/>
          <w:sz w:val="20"/>
          <w:szCs w:val="20"/>
          <w:lang w:val="fr-FR"/>
        </w:rPr>
        <w:t xml:space="preserve"> of </w:t>
      </w:r>
      <w:proofErr w:type="spellStart"/>
      <w:r w:rsidRPr="00EF0A65">
        <w:rPr>
          <w:i/>
          <w:iCs/>
          <w:sz w:val="20"/>
          <w:szCs w:val="20"/>
          <w:lang w:val="fr-FR"/>
        </w:rPr>
        <w:t>Reef</w:t>
      </w:r>
      <w:proofErr w:type="spellEnd"/>
      <w:r w:rsidRPr="00EF0A65">
        <w:rPr>
          <w:i/>
          <w:iCs/>
          <w:sz w:val="20"/>
          <w:szCs w:val="20"/>
          <w:lang w:val="fr-FR"/>
        </w:rPr>
        <w:t xml:space="preserve"> Passages</w:t>
      </w:r>
      <w:r w:rsidRPr="00EF0A65">
        <w:rPr>
          <w:sz w:val="20"/>
          <w:szCs w:val="20"/>
          <w:lang w:val="fr-FR"/>
        </w:rPr>
        <w:t xml:space="preserve">. </w:t>
      </w:r>
      <w:r w:rsidR="00603CE7" w:rsidRPr="00EF0A65">
        <w:rPr>
          <w:sz w:val="20"/>
          <w:szCs w:val="20"/>
          <w:lang w:val="fr-FR"/>
        </w:rPr>
        <w:t xml:space="preserve">En complément </w:t>
      </w:r>
      <w:r w:rsidR="00B8453C" w:rsidRPr="00EF0A65">
        <w:rPr>
          <w:sz w:val="20"/>
          <w:szCs w:val="20"/>
          <w:lang w:val="fr-FR"/>
        </w:rPr>
        <w:t xml:space="preserve">de </w:t>
      </w:r>
      <w:r w:rsidRPr="00EF0A65">
        <w:rPr>
          <w:sz w:val="20"/>
          <w:szCs w:val="20"/>
          <w:lang w:val="fr-FR"/>
        </w:rPr>
        <w:t>cet article, une base</w:t>
      </w:r>
      <w:r w:rsidR="00603CE7" w:rsidRPr="00EF0A65">
        <w:rPr>
          <w:sz w:val="20"/>
          <w:szCs w:val="20"/>
          <w:lang w:val="fr-FR"/>
        </w:rPr>
        <w:t xml:space="preserve"> de</w:t>
      </w:r>
      <w:r w:rsidRPr="00EF0A65">
        <w:rPr>
          <w:sz w:val="20"/>
          <w:szCs w:val="20"/>
          <w:lang w:val="fr-FR"/>
        </w:rPr>
        <w:t xml:space="preserve"> données </w:t>
      </w:r>
      <w:r w:rsidR="00B8453C" w:rsidRPr="00EF0A65">
        <w:rPr>
          <w:sz w:val="20"/>
          <w:szCs w:val="20"/>
          <w:lang w:val="fr-FR"/>
        </w:rPr>
        <w:t xml:space="preserve">initiale </w:t>
      </w:r>
      <w:r w:rsidRPr="00EF0A65">
        <w:rPr>
          <w:sz w:val="20"/>
          <w:szCs w:val="20"/>
          <w:lang w:val="fr-FR"/>
        </w:rPr>
        <w:t xml:space="preserve">regroupant les premières passes récifales recensées par Alexandra </w:t>
      </w:r>
      <w:proofErr w:type="spellStart"/>
      <w:r w:rsidRPr="00EF0A65">
        <w:rPr>
          <w:sz w:val="20"/>
          <w:szCs w:val="20"/>
          <w:lang w:val="fr-FR"/>
        </w:rPr>
        <w:t>Nozik</w:t>
      </w:r>
      <w:proofErr w:type="spellEnd"/>
      <w:r w:rsidRPr="00EF0A65">
        <w:rPr>
          <w:sz w:val="20"/>
          <w:szCs w:val="20"/>
          <w:lang w:val="fr-FR"/>
        </w:rPr>
        <w:t xml:space="preserve"> et. al. (ZMT) a été publiée sur la plateforme de partage de données géographiques PANGAEA.</w:t>
      </w:r>
    </w:p>
    <w:p w14:paraId="33282188" w14:textId="5AB16B66" w:rsidR="00B8453C" w:rsidRPr="00EF0A65" w:rsidRDefault="003046F5" w:rsidP="003046F5">
      <w:pPr>
        <w:ind w:firstLine="360"/>
        <w:rPr>
          <w:sz w:val="20"/>
          <w:szCs w:val="20"/>
          <w:lang w:val="fr-FR"/>
        </w:rPr>
      </w:pPr>
      <w:r w:rsidRPr="00EF0A65">
        <w:rPr>
          <w:sz w:val="20"/>
          <w:szCs w:val="20"/>
          <w:lang w:val="fr-FR"/>
        </w:rPr>
        <w:t>En se basant sur ces première parutions relatives au projet SOCPacific2R, la requête initiale était d</w:t>
      </w:r>
      <w:r w:rsidR="00117BB2" w:rsidRPr="00EF0A65">
        <w:rPr>
          <w:sz w:val="20"/>
          <w:szCs w:val="20"/>
          <w:lang w:val="fr-FR"/>
        </w:rPr>
        <w:t>e réétudier</w:t>
      </w:r>
      <w:r w:rsidRPr="00EF0A65">
        <w:rPr>
          <w:sz w:val="20"/>
          <w:szCs w:val="20"/>
          <w:lang w:val="fr-FR"/>
        </w:rPr>
        <w:t xml:space="preserve"> </w:t>
      </w:r>
      <w:r w:rsidR="00117BB2" w:rsidRPr="00EF0A65">
        <w:rPr>
          <w:sz w:val="20"/>
          <w:szCs w:val="20"/>
          <w:lang w:val="fr-FR"/>
        </w:rPr>
        <w:t xml:space="preserve">la </w:t>
      </w:r>
      <w:r w:rsidRPr="00EF0A65">
        <w:rPr>
          <w:sz w:val="20"/>
          <w:szCs w:val="20"/>
          <w:lang w:val="fr-FR"/>
        </w:rPr>
        <w:t>typologie des passes récifales et</w:t>
      </w:r>
      <w:r w:rsidR="00117BB2" w:rsidRPr="00EF0A65">
        <w:rPr>
          <w:sz w:val="20"/>
          <w:szCs w:val="20"/>
          <w:lang w:val="fr-FR"/>
        </w:rPr>
        <w:t xml:space="preserve"> de</w:t>
      </w:r>
      <w:r w:rsidRPr="00EF0A65">
        <w:rPr>
          <w:sz w:val="20"/>
          <w:szCs w:val="20"/>
          <w:lang w:val="fr-FR"/>
        </w:rPr>
        <w:t xml:space="preserve"> poursuivre le recensement de ces espaces </w:t>
      </w:r>
      <w:r w:rsidR="00B8453C" w:rsidRPr="00EF0A65">
        <w:rPr>
          <w:sz w:val="20"/>
          <w:szCs w:val="20"/>
          <w:lang w:val="fr-FR"/>
        </w:rPr>
        <w:t xml:space="preserve">dans 3 zones géographiques prioritaires : </w:t>
      </w:r>
      <w:r w:rsidRPr="00EF0A65">
        <w:rPr>
          <w:sz w:val="20"/>
          <w:szCs w:val="20"/>
          <w:lang w:val="fr-FR"/>
        </w:rPr>
        <w:t>la Nouvelle-Calédonie (Grande-Terre et les îles Loyauté) ; celui de Fidji avec les îles d’</w:t>
      </w:r>
      <w:proofErr w:type="spellStart"/>
      <w:r w:rsidRPr="00EF0A65">
        <w:rPr>
          <w:sz w:val="20"/>
          <w:szCs w:val="20"/>
          <w:lang w:val="fr-FR"/>
        </w:rPr>
        <w:t>Ovalavu</w:t>
      </w:r>
      <w:proofErr w:type="spellEnd"/>
      <w:r w:rsidRPr="00EF0A65">
        <w:rPr>
          <w:sz w:val="20"/>
          <w:szCs w:val="20"/>
          <w:lang w:val="fr-FR"/>
        </w:rPr>
        <w:t xml:space="preserve">, Viti </w:t>
      </w:r>
      <w:proofErr w:type="spellStart"/>
      <w:r w:rsidRPr="00EF0A65">
        <w:rPr>
          <w:sz w:val="20"/>
          <w:szCs w:val="20"/>
          <w:lang w:val="fr-FR"/>
        </w:rPr>
        <w:t>Levu</w:t>
      </w:r>
      <w:proofErr w:type="spellEnd"/>
      <w:r w:rsidRPr="00EF0A65">
        <w:rPr>
          <w:sz w:val="20"/>
          <w:szCs w:val="20"/>
          <w:lang w:val="fr-FR"/>
        </w:rPr>
        <w:t xml:space="preserve">, </w:t>
      </w:r>
      <w:proofErr w:type="spellStart"/>
      <w:r w:rsidRPr="00EF0A65">
        <w:rPr>
          <w:sz w:val="20"/>
          <w:szCs w:val="20"/>
          <w:lang w:val="fr-FR"/>
        </w:rPr>
        <w:t>Vanua</w:t>
      </w:r>
      <w:proofErr w:type="spellEnd"/>
      <w:r w:rsidRPr="00EF0A65">
        <w:rPr>
          <w:sz w:val="20"/>
          <w:szCs w:val="20"/>
          <w:lang w:val="fr-FR"/>
        </w:rPr>
        <w:t xml:space="preserve"> </w:t>
      </w:r>
      <w:proofErr w:type="spellStart"/>
      <w:r w:rsidRPr="00EF0A65">
        <w:rPr>
          <w:sz w:val="20"/>
          <w:szCs w:val="20"/>
          <w:lang w:val="fr-FR"/>
        </w:rPr>
        <w:t>Levu</w:t>
      </w:r>
      <w:proofErr w:type="spellEnd"/>
      <w:r w:rsidRPr="00EF0A65">
        <w:rPr>
          <w:sz w:val="20"/>
          <w:szCs w:val="20"/>
          <w:lang w:val="fr-FR"/>
        </w:rPr>
        <w:t xml:space="preserve"> et </w:t>
      </w:r>
      <w:proofErr w:type="spellStart"/>
      <w:r w:rsidRPr="00EF0A65">
        <w:rPr>
          <w:sz w:val="20"/>
          <w:szCs w:val="20"/>
          <w:lang w:val="fr-FR"/>
        </w:rPr>
        <w:t>Moturuki</w:t>
      </w:r>
      <w:proofErr w:type="spellEnd"/>
      <w:r w:rsidRPr="00EF0A65">
        <w:rPr>
          <w:sz w:val="20"/>
          <w:szCs w:val="20"/>
          <w:lang w:val="fr-FR"/>
        </w:rPr>
        <w:t xml:space="preserve"> ; et, finalement, la Polynésie Française en objectif secondaire avec Tahiti et </w:t>
      </w:r>
      <w:proofErr w:type="spellStart"/>
      <w:r w:rsidRPr="00EF0A65">
        <w:rPr>
          <w:sz w:val="20"/>
          <w:szCs w:val="20"/>
          <w:lang w:val="fr-FR"/>
        </w:rPr>
        <w:t>Mooréa</w:t>
      </w:r>
      <w:proofErr w:type="spellEnd"/>
      <w:r w:rsidRPr="00EF0A65">
        <w:rPr>
          <w:sz w:val="20"/>
          <w:szCs w:val="20"/>
          <w:lang w:val="fr-FR"/>
        </w:rPr>
        <w:t xml:space="preserve">. En plus de cela, si le temps le permettait, une interface web-cartographique dynamique présentant ces passes et leurs caractéristiques était à élaborer. </w:t>
      </w:r>
    </w:p>
    <w:p w14:paraId="6B8D3544" w14:textId="1039679E" w:rsidR="003046F5" w:rsidRPr="00EF0A65" w:rsidRDefault="003046F5" w:rsidP="003046F5">
      <w:pPr>
        <w:ind w:firstLine="360"/>
        <w:rPr>
          <w:sz w:val="20"/>
          <w:szCs w:val="20"/>
          <w:lang w:val="fr-FR"/>
        </w:rPr>
      </w:pPr>
      <w:r w:rsidRPr="00EF0A65">
        <w:rPr>
          <w:sz w:val="20"/>
          <w:szCs w:val="20"/>
          <w:lang w:val="fr-FR"/>
        </w:rPr>
        <w:t>Au f</w:t>
      </w:r>
      <w:r w:rsidR="00B8453C" w:rsidRPr="00EF0A65">
        <w:rPr>
          <w:sz w:val="20"/>
          <w:szCs w:val="20"/>
          <w:lang w:val="fr-FR"/>
        </w:rPr>
        <w:t xml:space="preserve">il </w:t>
      </w:r>
      <w:r w:rsidRPr="00EF0A65">
        <w:rPr>
          <w:sz w:val="20"/>
          <w:szCs w:val="20"/>
          <w:lang w:val="fr-FR"/>
        </w:rPr>
        <w:t>des premières réunions, recherches et lectures,</w:t>
      </w:r>
      <w:r w:rsidR="00117BB2" w:rsidRPr="00EF0A65">
        <w:rPr>
          <w:sz w:val="20"/>
          <w:szCs w:val="20"/>
          <w:lang w:val="fr-FR"/>
        </w:rPr>
        <w:t xml:space="preserve"> certaines orientations ont été ajustée</w:t>
      </w:r>
      <w:r w:rsidRPr="00EF0A65">
        <w:rPr>
          <w:sz w:val="20"/>
          <w:szCs w:val="20"/>
          <w:lang w:val="fr-FR"/>
        </w:rPr>
        <w:t>. L</w:t>
      </w:r>
      <w:r w:rsidR="00117BB2" w:rsidRPr="00EF0A65">
        <w:rPr>
          <w:sz w:val="20"/>
          <w:szCs w:val="20"/>
          <w:lang w:val="fr-FR"/>
        </w:rPr>
        <w:t>’abondance de</w:t>
      </w:r>
      <w:r w:rsidRPr="00EF0A65">
        <w:rPr>
          <w:sz w:val="20"/>
          <w:szCs w:val="20"/>
          <w:lang w:val="fr-FR"/>
        </w:rPr>
        <w:t xml:space="preserve"> données précises, complètes et uniques (vis-à-vis des autres archipels étudiés) sur Tahiti</w:t>
      </w:r>
      <w:r w:rsidR="00117BB2" w:rsidRPr="00EF0A65">
        <w:rPr>
          <w:sz w:val="20"/>
          <w:szCs w:val="20"/>
          <w:lang w:val="fr-FR"/>
        </w:rPr>
        <w:t xml:space="preserve"> et Moorea a conduit à rehausser son statut </w:t>
      </w:r>
      <w:r w:rsidR="00117BB2" w:rsidRPr="00EF0A65">
        <w:rPr>
          <w:sz w:val="20"/>
          <w:szCs w:val="20"/>
          <w:lang w:val="fr-FR"/>
        </w:rPr>
        <w:t>au même niveau que les deux autres zones d’étude</w:t>
      </w:r>
      <w:r w:rsidR="00117BB2" w:rsidRPr="00EF0A65">
        <w:rPr>
          <w:sz w:val="20"/>
          <w:szCs w:val="20"/>
          <w:lang w:val="fr-FR"/>
        </w:rPr>
        <w:t xml:space="preserve"> dans la hiérarchie des priorités</w:t>
      </w:r>
      <w:r w:rsidRPr="00EF0A65">
        <w:rPr>
          <w:sz w:val="20"/>
          <w:szCs w:val="20"/>
          <w:lang w:val="fr-FR"/>
        </w:rPr>
        <w:t xml:space="preserve">. </w:t>
      </w:r>
      <w:r w:rsidR="00117BB2" w:rsidRPr="00EF0A65">
        <w:rPr>
          <w:sz w:val="20"/>
          <w:szCs w:val="20"/>
          <w:lang w:val="fr-FR"/>
        </w:rPr>
        <w:t>Par ailleurs, la révision complète de la typologie initiale, nécessitant des expertises spécifiques en écologie et en anthropologie, a été écartée au profit d’un approfondissement empirique basé sur des indicateurs plus objectifs</w:t>
      </w:r>
      <w:r w:rsidR="00117BB2" w:rsidRPr="00EF0A65">
        <w:rPr>
          <w:sz w:val="20"/>
          <w:szCs w:val="20"/>
          <w:lang w:val="fr-FR"/>
        </w:rPr>
        <w:t xml:space="preserve">. </w:t>
      </w:r>
      <w:r w:rsidRPr="00EF0A65">
        <w:rPr>
          <w:sz w:val="20"/>
          <w:szCs w:val="20"/>
          <w:lang w:val="fr-FR"/>
        </w:rPr>
        <w:t xml:space="preserve">De plus, un tel enrichissement </w:t>
      </w:r>
      <w:r w:rsidR="00117BB2" w:rsidRPr="00EF0A65">
        <w:rPr>
          <w:sz w:val="20"/>
          <w:szCs w:val="20"/>
          <w:lang w:val="fr-FR"/>
        </w:rPr>
        <w:t>facilitera</w:t>
      </w:r>
      <w:r w:rsidR="001800B6" w:rsidRPr="00EF0A65">
        <w:rPr>
          <w:sz w:val="20"/>
          <w:szCs w:val="20"/>
          <w:lang w:val="fr-FR"/>
        </w:rPr>
        <w:t>, à l’avenir, l’élaboration</w:t>
      </w:r>
      <w:r w:rsidRPr="00EF0A65">
        <w:rPr>
          <w:sz w:val="20"/>
          <w:szCs w:val="20"/>
          <w:lang w:val="fr-FR"/>
        </w:rPr>
        <w:t xml:space="preserve"> d’une typologie plus complète. Dans le même temps, l’interface cartographique</w:t>
      </w:r>
      <w:r w:rsidR="001800B6" w:rsidRPr="00EF0A65">
        <w:rPr>
          <w:sz w:val="20"/>
          <w:szCs w:val="20"/>
          <w:lang w:val="fr-FR"/>
        </w:rPr>
        <w:t>, initialement objectif secondaire, est devenue un livrable central de la mission.</w:t>
      </w:r>
      <w:r w:rsidRPr="00EF0A65">
        <w:rPr>
          <w:sz w:val="20"/>
          <w:szCs w:val="20"/>
          <w:lang w:val="fr-FR"/>
        </w:rPr>
        <w:t xml:space="preserve"> </w:t>
      </w:r>
      <w:r w:rsidRPr="00EF0A65">
        <w:rPr>
          <w:sz w:val="20"/>
          <w:szCs w:val="20"/>
          <w:lang w:val="fr-FR"/>
        </w:rPr>
        <w:t>Celle-ci</w:t>
      </w:r>
      <w:r w:rsidR="001800B6" w:rsidRPr="00EF0A65">
        <w:rPr>
          <w:sz w:val="20"/>
          <w:szCs w:val="20"/>
          <w:lang w:val="fr-FR"/>
        </w:rPr>
        <w:t xml:space="preserve"> offre</w:t>
      </w:r>
      <w:r w:rsidRPr="00EF0A65">
        <w:rPr>
          <w:sz w:val="20"/>
          <w:szCs w:val="20"/>
          <w:lang w:val="fr-FR"/>
        </w:rPr>
        <w:t xml:space="preserve"> aux acteurs concernés par les passes </w:t>
      </w:r>
      <w:r w:rsidR="001800B6" w:rsidRPr="00EF0A65">
        <w:rPr>
          <w:sz w:val="20"/>
          <w:szCs w:val="20"/>
          <w:lang w:val="fr-FR"/>
        </w:rPr>
        <w:t xml:space="preserve">l’opportunité </w:t>
      </w:r>
      <w:r w:rsidRPr="00EF0A65">
        <w:rPr>
          <w:sz w:val="20"/>
          <w:szCs w:val="20"/>
          <w:lang w:val="fr-FR"/>
        </w:rPr>
        <w:t xml:space="preserve">de prendre directement connaissance des informations </w:t>
      </w:r>
      <w:r w:rsidR="001800B6" w:rsidRPr="00EF0A65">
        <w:rPr>
          <w:sz w:val="20"/>
          <w:szCs w:val="20"/>
          <w:lang w:val="fr-FR"/>
        </w:rPr>
        <w:t>issues du</w:t>
      </w:r>
      <w:r w:rsidRPr="00EF0A65">
        <w:rPr>
          <w:sz w:val="20"/>
          <w:szCs w:val="20"/>
          <w:lang w:val="fr-FR"/>
        </w:rPr>
        <w:t xml:space="preserve"> projet mais surtout </w:t>
      </w:r>
      <w:r w:rsidR="001800B6" w:rsidRPr="00EF0A65">
        <w:rPr>
          <w:sz w:val="20"/>
          <w:szCs w:val="20"/>
          <w:lang w:val="fr-FR"/>
        </w:rPr>
        <w:t xml:space="preserve">d’échanger </w:t>
      </w:r>
      <w:r w:rsidRPr="00EF0A65">
        <w:rPr>
          <w:sz w:val="20"/>
          <w:szCs w:val="20"/>
          <w:lang w:val="fr-FR"/>
        </w:rPr>
        <w:t xml:space="preserve">avec les membres </w:t>
      </w:r>
      <w:r w:rsidR="001800B6" w:rsidRPr="00EF0A65">
        <w:rPr>
          <w:sz w:val="20"/>
          <w:szCs w:val="20"/>
          <w:lang w:val="fr-FR"/>
        </w:rPr>
        <w:t>les équipes de SocPacific2R</w:t>
      </w:r>
      <w:r w:rsidRPr="00EF0A65">
        <w:rPr>
          <w:sz w:val="20"/>
          <w:szCs w:val="20"/>
          <w:lang w:val="fr-FR"/>
        </w:rPr>
        <w:t xml:space="preserve"> su</w:t>
      </w:r>
      <w:r w:rsidR="001800B6" w:rsidRPr="00EF0A65">
        <w:rPr>
          <w:sz w:val="20"/>
          <w:szCs w:val="20"/>
          <w:lang w:val="fr-FR"/>
        </w:rPr>
        <w:t xml:space="preserve">r </w:t>
      </w:r>
      <w:r w:rsidRPr="00EF0A65">
        <w:rPr>
          <w:sz w:val="20"/>
          <w:szCs w:val="20"/>
          <w:lang w:val="fr-FR"/>
        </w:rPr>
        <w:t>leur propre expérience de ces milieux</w:t>
      </w:r>
      <w:r w:rsidR="008D2F28" w:rsidRPr="00EF0A65">
        <w:rPr>
          <w:sz w:val="20"/>
          <w:szCs w:val="20"/>
          <w:lang w:val="fr-FR"/>
        </w:rPr>
        <w:t>.</w:t>
      </w:r>
    </w:p>
    <w:p w14:paraId="1DDECE1E" w14:textId="18D86381" w:rsidR="00326764" w:rsidRPr="00EF0A65" w:rsidRDefault="003046F5" w:rsidP="003046F5">
      <w:pPr>
        <w:ind w:firstLine="360"/>
        <w:rPr>
          <w:sz w:val="20"/>
          <w:szCs w:val="20"/>
          <w:lang w:val="fr-FR"/>
        </w:rPr>
      </w:pPr>
      <w:r w:rsidRPr="00EF0A65">
        <w:rPr>
          <w:sz w:val="20"/>
          <w:szCs w:val="20"/>
          <w:lang w:val="fr-FR"/>
        </w:rPr>
        <w:t>Ainsi, la commande</w:t>
      </w:r>
      <w:r w:rsidR="00326764" w:rsidRPr="00EF0A65">
        <w:rPr>
          <w:sz w:val="20"/>
          <w:szCs w:val="20"/>
          <w:lang w:val="fr-FR"/>
        </w:rPr>
        <w:t xml:space="preserve"> peut</w:t>
      </w:r>
      <w:r w:rsidRPr="00EF0A65">
        <w:rPr>
          <w:sz w:val="20"/>
          <w:szCs w:val="20"/>
          <w:lang w:val="fr-FR"/>
        </w:rPr>
        <w:t xml:space="preserve"> </w:t>
      </w:r>
      <w:r w:rsidR="00326764" w:rsidRPr="00EF0A65">
        <w:rPr>
          <w:sz w:val="20"/>
          <w:szCs w:val="20"/>
          <w:lang w:val="fr-FR"/>
        </w:rPr>
        <w:t xml:space="preserve">se résumer en 3 objectifs : </w:t>
      </w:r>
    </w:p>
    <w:p w14:paraId="4365A691" w14:textId="45A6E074" w:rsidR="00372D5B" w:rsidRPr="00EF0A65" w:rsidRDefault="00326764" w:rsidP="00326764">
      <w:pPr>
        <w:pStyle w:val="ListParagraph"/>
        <w:numPr>
          <w:ilvl w:val="0"/>
          <w:numId w:val="47"/>
        </w:numPr>
        <w:rPr>
          <w:rFonts w:eastAsiaTheme="majorEastAsia"/>
          <w:sz w:val="20"/>
          <w:szCs w:val="20"/>
          <w:lang w:val="fr-FR"/>
        </w:rPr>
      </w:pPr>
      <w:r w:rsidRPr="00EF0A65">
        <w:rPr>
          <w:sz w:val="20"/>
          <w:szCs w:val="20"/>
          <w:u w:val="single"/>
          <w:lang w:val="fr-FR"/>
        </w:rPr>
        <w:t>Objectif 1</w:t>
      </w:r>
      <w:r w:rsidRPr="00EF0A65">
        <w:rPr>
          <w:sz w:val="20"/>
          <w:szCs w:val="20"/>
          <w:lang w:val="fr-FR"/>
        </w:rPr>
        <w:t xml:space="preserve"> : </w:t>
      </w:r>
      <w:r w:rsidR="0080710C" w:rsidRPr="00EF0A65">
        <w:rPr>
          <w:b/>
          <w:bCs/>
          <w:sz w:val="20"/>
          <w:szCs w:val="20"/>
          <w:lang w:val="fr-FR"/>
        </w:rPr>
        <w:t>Recenser</w:t>
      </w:r>
      <w:r w:rsidR="0080710C" w:rsidRPr="00EF0A65">
        <w:rPr>
          <w:sz w:val="20"/>
          <w:szCs w:val="20"/>
          <w:lang w:val="fr-FR"/>
        </w:rPr>
        <w:t xml:space="preserve"> les passes récifales dans les trois zones géographiques cibles ;</w:t>
      </w:r>
    </w:p>
    <w:p w14:paraId="2A1D756B" w14:textId="77777777" w:rsidR="0080710C" w:rsidRPr="00EF0A65" w:rsidRDefault="0080710C" w:rsidP="0080710C">
      <w:pPr>
        <w:pStyle w:val="ListParagraph"/>
        <w:rPr>
          <w:rFonts w:eastAsiaTheme="majorEastAsia"/>
          <w:sz w:val="20"/>
          <w:szCs w:val="20"/>
          <w:lang w:val="fr-FR"/>
        </w:rPr>
      </w:pPr>
    </w:p>
    <w:p w14:paraId="6809E100" w14:textId="77777777" w:rsidR="0080710C" w:rsidRPr="00EF0A65" w:rsidRDefault="00326764" w:rsidP="000E7538">
      <w:pPr>
        <w:pStyle w:val="ListParagraph"/>
        <w:numPr>
          <w:ilvl w:val="0"/>
          <w:numId w:val="47"/>
        </w:numPr>
        <w:rPr>
          <w:rFonts w:eastAsiaTheme="majorEastAsia"/>
          <w:sz w:val="20"/>
          <w:szCs w:val="20"/>
          <w:lang w:val="fr-FR"/>
        </w:rPr>
      </w:pPr>
      <w:r w:rsidRPr="00EF0A65">
        <w:rPr>
          <w:sz w:val="20"/>
          <w:szCs w:val="20"/>
          <w:u w:val="single"/>
          <w:lang w:val="fr-FR"/>
        </w:rPr>
        <w:t>Objectif 2</w:t>
      </w:r>
      <w:r w:rsidRPr="00EF0A65">
        <w:rPr>
          <w:b/>
          <w:bCs/>
          <w:sz w:val="20"/>
          <w:szCs w:val="20"/>
          <w:lang w:val="fr-FR"/>
        </w:rPr>
        <w:t> </w:t>
      </w:r>
      <w:r w:rsidRPr="00EF0A65">
        <w:rPr>
          <w:sz w:val="20"/>
          <w:szCs w:val="20"/>
          <w:lang w:val="fr-FR"/>
        </w:rPr>
        <w:t>:</w:t>
      </w:r>
      <w:r w:rsidRPr="00EF0A65">
        <w:rPr>
          <w:rFonts w:eastAsiaTheme="majorEastAsia"/>
          <w:sz w:val="20"/>
          <w:szCs w:val="20"/>
          <w:lang w:val="fr-FR"/>
        </w:rPr>
        <w:t xml:space="preserve"> </w:t>
      </w:r>
      <w:r w:rsidR="0080710C" w:rsidRPr="00EF0A65">
        <w:rPr>
          <w:rFonts w:eastAsiaTheme="majorEastAsia"/>
          <w:b/>
          <w:bCs/>
          <w:sz w:val="20"/>
          <w:szCs w:val="20"/>
          <w:lang w:val="fr-FR"/>
        </w:rPr>
        <w:t>Caractériser</w:t>
      </w:r>
      <w:r w:rsidR="0080710C" w:rsidRPr="00EF0A65">
        <w:rPr>
          <w:rFonts w:eastAsiaTheme="majorEastAsia"/>
          <w:sz w:val="20"/>
          <w:szCs w:val="20"/>
          <w:lang w:val="fr-FR"/>
        </w:rPr>
        <w:t xml:space="preserve"> ces passes par l’ajout d’indices descriptifs et d’attributs géographiques pertinents ;</w:t>
      </w:r>
    </w:p>
    <w:p w14:paraId="5E09B628" w14:textId="77777777" w:rsidR="0080710C" w:rsidRPr="00EF0A65" w:rsidRDefault="0080710C" w:rsidP="0080710C">
      <w:pPr>
        <w:pStyle w:val="ListParagraph"/>
        <w:rPr>
          <w:sz w:val="20"/>
          <w:szCs w:val="20"/>
          <w:lang w:val="fr-FR"/>
        </w:rPr>
      </w:pPr>
    </w:p>
    <w:p w14:paraId="64EBEE57" w14:textId="77777777" w:rsidR="00177A23" w:rsidRPr="00EF0A65" w:rsidRDefault="00326764" w:rsidP="00F92FB5">
      <w:pPr>
        <w:pStyle w:val="ListParagraph"/>
        <w:numPr>
          <w:ilvl w:val="0"/>
          <w:numId w:val="47"/>
        </w:numPr>
        <w:rPr>
          <w:rFonts w:eastAsiaTheme="majorEastAsia"/>
          <w:sz w:val="20"/>
          <w:szCs w:val="20"/>
          <w:lang w:val="fr-FR"/>
        </w:rPr>
      </w:pPr>
      <w:r w:rsidRPr="00EF0A65">
        <w:rPr>
          <w:sz w:val="20"/>
          <w:szCs w:val="20"/>
          <w:u w:val="single"/>
          <w:lang w:val="fr-FR"/>
        </w:rPr>
        <w:t>Objectif 3</w:t>
      </w:r>
      <w:r w:rsidRPr="00EF0A65">
        <w:rPr>
          <w:b/>
          <w:bCs/>
          <w:sz w:val="20"/>
          <w:szCs w:val="20"/>
          <w:lang w:val="fr-FR"/>
        </w:rPr>
        <w:t> </w:t>
      </w:r>
      <w:r w:rsidRPr="00EF0A65">
        <w:rPr>
          <w:sz w:val="20"/>
          <w:szCs w:val="20"/>
          <w:lang w:val="fr-FR"/>
        </w:rPr>
        <w:t xml:space="preserve">: </w:t>
      </w:r>
      <w:r w:rsidR="0080710C" w:rsidRPr="00EF0A65">
        <w:rPr>
          <w:b/>
          <w:bCs/>
          <w:sz w:val="20"/>
          <w:szCs w:val="20"/>
          <w:lang w:val="fr-FR"/>
        </w:rPr>
        <w:t>Diffuser</w:t>
      </w:r>
      <w:r w:rsidR="0080710C" w:rsidRPr="00EF0A65">
        <w:rPr>
          <w:sz w:val="20"/>
          <w:szCs w:val="20"/>
          <w:lang w:val="fr-FR"/>
        </w:rPr>
        <w:t xml:space="preserve"> ces informations via une plateforme web interactive facilitant la consultation et la participation des acteurs locaux.</w:t>
      </w:r>
    </w:p>
    <w:p w14:paraId="4A23697B" w14:textId="77777777" w:rsidR="00177A23" w:rsidRPr="00EF0A65" w:rsidRDefault="00177A23" w:rsidP="00177A23">
      <w:pPr>
        <w:pStyle w:val="ListParagraph"/>
        <w:rPr>
          <w:rFonts w:eastAsiaTheme="majorEastAsia"/>
          <w:sz w:val="20"/>
          <w:szCs w:val="20"/>
          <w:lang w:val="fr-FR"/>
        </w:rPr>
      </w:pPr>
    </w:p>
    <w:p w14:paraId="1C09C8DB" w14:textId="0DDD5641" w:rsidR="00FE70B1" w:rsidRPr="00EF0A65" w:rsidRDefault="00177A23" w:rsidP="00177A23">
      <w:pPr>
        <w:rPr>
          <w:rFonts w:eastAsiaTheme="majorEastAsia"/>
          <w:sz w:val="20"/>
          <w:szCs w:val="20"/>
          <w:lang w:val="fr-FR"/>
        </w:rPr>
      </w:pPr>
      <w:r w:rsidRPr="00EF0A65">
        <w:rPr>
          <w:rFonts w:eastAsiaTheme="majorEastAsia"/>
          <w:sz w:val="20"/>
          <w:szCs w:val="20"/>
          <w:lang w:val="fr-FR"/>
        </w:rPr>
        <w:t>Ainsi, p</w:t>
      </w:r>
      <w:r w:rsidR="00326764" w:rsidRPr="00EF0A65">
        <w:rPr>
          <w:rFonts w:eastAsiaTheme="majorEastAsia"/>
          <w:sz w:val="20"/>
          <w:szCs w:val="20"/>
          <w:lang w:val="fr-FR"/>
        </w:rPr>
        <w:t>our répondre à ces objectif</w:t>
      </w:r>
      <w:r w:rsidR="006D3D5A" w:rsidRPr="00EF0A65">
        <w:rPr>
          <w:rFonts w:eastAsiaTheme="majorEastAsia"/>
          <w:sz w:val="20"/>
          <w:szCs w:val="20"/>
          <w:lang w:val="fr-FR"/>
        </w:rPr>
        <w:t>s</w:t>
      </w:r>
      <w:r w:rsidR="00326764" w:rsidRPr="00EF0A65">
        <w:rPr>
          <w:rFonts w:eastAsiaTheme="majorEastAsia"/>
          <w:sz w:val="20"/>
          <w:szCs w:val="20"/>
          <w:lang w:val="fr-FR"/>
        </w:rPr>
        <w:t>, nous avons produit 2 livrables</w:t>
      </w:r>
      <w:r w:rsidRPr="00EF0A65">
        <w:rPr>
          <w:rFonts w:eastAsiaTheme="majorEastAsia"/>
          <w:sz w:val="20"/>
          <w:szCs w:val="20"/>
          <w:lang w:val="fr-FR"/>
        </w:rPr>
        <w:t xml:space="preserve"> principaux</w:t>
      </w:r>
      <w:r w:rsidR="00936CD7" w:rsidRPr="00EF0A65">
        <w:rPr>
          <w:rFonts w:eastAsiaTheme="majorEastAsia"/>
          <w:sz w:val="20"/>
          <w:szCs w:val="20"/>
          <w:lang w:val="fr-FR"/>
        </w:rPr>
        <w:t>.</w:t>
      </w:r>
      <w:r w:rsidR="00326764" w:rsidRPr="00EF0A65">
        <w:rPr>
          <w:rFonts w:eastAsiaTheme="majorEastAsia"/>
          <w:sz w:val="20"/>
          <w:szCs w:val="20"/>
          <w:lang w:val="fr-FR"/>
        </w:rPr>
        <w:t xml:space="preserve"> </w:t>
      </w:r>
      <w:r w:rsidR="00936CD7" w:rsidRPr="00EF0A65">
        <w:rPr>
          <w:rFonts w:eastAsiaTheme="majorEastAsia"/>
          <w:sz w:val="20"/>
          <w:szCs w:val="20"/>
          <w:lang w:val="fr-FR"/>
        </w:rPr>
        <w:t xml:space="preserve">Le premier est </w:t>
      </w:r>
      <w:r w:rsidR="00326764" w:rsidRPr="00EF0A65">
        <w:rPr>
          <w:rFonts w:eastAsiaTheme="majorEastAsia"/>
          <w:sz w:val="20"/>
          <w:szCs w:val="20"/>
          <w:lang w:val="fr-FR"/>
        </w:rPr>
        <w:t>un corpus de couches vectoriel</w:t>
      </w:r>
      <w:r w:rsidR="006D3D5A" w:rsidRPr="00EF0A65">
        <w:rPr>
          <w:rFonts w:eastAsiaTheme="majorEastAsia"/>
          <w:sz w:val="20"/>
          <w:szCs w:val="20"/>
          <w:lang w:val="fr-FR"/>
        </w:rPr>
        <w:t>le</w:t>
      </w:r>
      <w:r w:rsidR="00326764" w:rsidRPr="00EF0A65">
        <w:rPr>
          <w:rFonts w:eastAsiaTheme="majorEastAsia"/>
          <w:sz w:val="20"/>
          <w:szCs w:val="20"/>
          <w:lang w:val="fr-FR"/>
        </w:rPr>
        <w:t>s</w:t>
      </w:r>
      <w:r w:rsidR="00936CD7" w:rsidRPr="00EF0A65">
        <w:rPr>
          <w:rFonts w:eastAsiaTheme="majorEastAsia"/>
          <w:sz w:val="20"/>
          <w:szCs w:val="20"/>
          <w:lang w:val="fr-FR"/>
        </w:rPr>
        <w:t>, éditables,</w:t>
      </w:r>
      <w:r w:rsidR="00326764" w:rsidRPr="00EF0A65">
        <w:rPr>
          <w:rFonts w:eastAsiaTheme="majorEastAsia"/>
          <w:sz w:val="20"/>
          <w:szCs w:val="20"/>
          <w:lang w:val="fr-FR"/>
        </w:rPr>
        <w:t xml:space="preserve"> regroupant les passes récifales des 3 archipels ainsi que les </w:t>
      </w:r>
      <w:r w:rsidR="00936CD7" w:rsidRPr="00EF0A65">
        <w:rPr>
          <w:rFonts w:eastAsiaTheme="majorEastAsia"/>
          <w:sz w:val="20"/>
          <w:szCs w:val="20"/>
          <w:lang w:val="fr-FR"/>
        </w:rPr>
        <w:t>nouveaux indices aidant à leur caractérisation. L’interface web-cartographique dynamique constitue le second livrable.</w:t>
      </w:r>
    </w:p>
    <w:sectPr w:rsidR="00FE70B1" w:rsidRPr="00EF0A65" w:rsidSect="003E7EB5">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08F5B" w14:textId="77777777" w:rsidR="005D387F" w:rsidRDefault="005D387F">
      <w:pPr>
        <w:spacing w:line="240" w:lineRule="auto"/>
      </w:pPr>
      <w:r>
        <w:separator/>
      </w:r>
    </w:p>
  </w:endnote>
  <w:endnote w:type="continuationSeparator" w:id="0">
    <w:p w14:paraId="5ABC2513" w14:textId="77777777" w:rsidR="005D387F" w:rsidRDefault="005D3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Georgia Pro">
    <w:charset w:val="00"/>
    <w:family w:val="roman"/>
    <w:pitch w:val="variable"/>
    <w:sig w:usb0="800002AF"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7124121"/>
      <w:docPartObj>
        <w:docPartGallery w:val="Page Numbers (Bottom of Page)"/>
        <w:docPartUnique/>
      </w:docPartObj>
    </w:sdtPr>
    <w:sdtContent>
      <w:p w14:paraId="60D34558"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39D9" w14:textId="77777777" w:rsidR="003E7EB5" w:rsidRDefault="003E7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219893"/>
      <w:docPartObj>
        <w:docPartGallery w:val="Page Numbers (Bottom of Page)"/>
        <w:docPartUnique/>
      </w:docPartObj>
    </w:sdtPr>
    <w:sdtContent>
      <w:p w14:paraId="5058545D" w14:textId="77777777" w:rsidR="00955B5B" w:rsidRPr="00190922" w:rsidRDefault="00955B5B"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340733"/>
      <w:docPartObj>
        <w:docPartGallery w:val="Page Numbers (Bottom of Page)"/>
        <w:docPartUnique/>
      </w:docPartObj>
    </w:sdtPr>
    <w:sdtContent>
      <w:p w14:paraId="673BABF7" w14:textId="77777777" w:rsidR="00955B5B" w:rsidRPr="00955B5B" w:rsidRDefault="00955B5B" w:rsidP="00955B5B">
        <w:pPr>
          <w:pStyle w:val="Footer"/>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DE3E1" w14:textId="77777777" w:rsidR="005D387F" w:rsidRDefault="005D387F">
      <w:pPr>
        <w:spacing w:line="240" w:lineRule="auto"/>
      </w:pPr>
      <w:r>
        <w:separator/>
      </w:r>
    </w:p>
  </w:footnote>
  <w:footnote w:type="continuationSeparator" w:id="0">
    <w:p w14:paraId="33F72066" w14:textId="77777777" w:rsidR="005D387F" w:rsidRDefault="005D387F">
      <w:pPr>
        <w:spacing w:line="240" w:lineRule="auto"/>
      </w:pPr>
      <w:r>
        <w:continuationSeparator/>
      </w:r>
    </w:p>
  </w:footnote>
  <w:footnote w:id="1">
    <w:p w14:paraId="3ED37904" w14:textId="23C809E1" w:rsidR="00EF0A65" w:rsidRPr="00EF0A65" w:rsidRDefault="00EF0A65">
      <w:pPr>
        <w:pStyle w:val="FootnoteText"/>
        <w:rPr>
          <w:sz w:val="16"/>
          <w:szCs w:val="16"/>
          <w:lang w:val="fr-FR"/>
        </w:rPr>
      </w:pPr>
      <w:r>
        <w:rPr>
          <w:rStyle w:val="FootnoteReference"/>
        </w:rPr>
        <w:footnoteRef/>
      </w:r>
      <w:r w:rsidRPr="00EF0A65">
        <w:rPr>
          <w:lang w:val="fr-FR"/>
        </w:rPr>
        <w:t xml:space="preserve"> </w:t>
      </w:r>
      <w:r w:rsidRPr="00EF0A65">
        <w:rPr>
          <w:lang w:val="fr-FR"/>
        </w:rPr>
        <w:t> </w:t>
      </w:r>
      <w:r w:rsidRPr="00EF0A65">
        <w:rPr>
          <w:sz w:val="16"/>
          <w:szCs w:val="16"/>
          <w:lang w:val="fr-FR"/>
        </w:rPr>
        <w:t>Règle des 5 A à savoir : Acquisition de la donnée, son Archivage, l’Analyse de celle-ci, son Affichage (diffusion), et finalement l’Abstraction que nous n’avons finalement que abordé en théorie.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E864" w14:textId="77777777" w:rsidR="003E7EB5" w:rsidRDefault="003E7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9F77" w14:textId="77777777" w:rsidR="003E7EB5" w:rsidRDefault="003E7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53B5" w14:textId="77777777" w:rsidR="003E7EB5" w:rsidRDefault="003E7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C9B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03421" w:themeColor="accent1" w:themeShade="80"/>
      </w:rPr>
    </w:lvl>
  </w:abstractNum>
  <w:abstractNum w:abstractNumId="10" w15:restartNumberingAfterBreak="0">
    <w:nsid w:val="0A3C4F0D"/>
    <w:multiLevelType w:val="hybridMultilevel"/>
    <w:tmpl w:val="8506DF48"/>
    <w:lvl w:ilvl="0" w:tplc="940E5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7B06F6"/>
    <w:multiLevelType w:val="hybridMultilevel"/>
    <w:tmpl w:val="CDD8537A"/>
    <w:lvl w:ilvl="0" w:tplc="EA2076CC">
      <w:start w:val="3"/>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BD56E5"/>
    <w:multiLevelType w:val="hybridMultilevel"/>
    <w:tmpl w:val="0674D514"/>
    <w:lvl w:ilvl="0" w:tplc="F49E0932">
      <w:start w:val="3"/>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5051ED0"/>
    <w:multiLevelType w:val="hybridMultilevel"/>
    <w:tmpl w:val="3F82D2B0"/>
    <w:lvl w:ilvl="0" w:tplc="5754C91E">
      <w:numFmt w:val="bullet"/>
      <w:lvlText w:val=""/>
      <w:lvlJc w:val="left"/>
      <w:pPr>
        <w:ind w:left="720" w:hanging="360"/>
      </w:pPr>
      <w:rPr>
        <w:rFonts w:ascii="Symbol" w:eastAsiaTheme="minorEastAsia" w:hAnsi="Symbol" w:cs="Times New Roman (Body C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437938">
    <w:abstractNumId w:val="9"/>
  </w:num>
  <w:num w:numId="2" w16cid:durableId="1372614163">
    <w:abstractNumId w:val="9"/>
    <w:lvlOverride w:ilvl="0">
      <w:startOverride w:val="1"/>
    </w:lvlOverride>
  </w:num>
  <w:num w:numId="3" w16cid:durableId="1774744745">
    <w:abstractNumId w:val="8"/>
  </w:num>
  <w:num w:numId="4" w16cid:durableId="2016574040">
    <w:abstractNumId w:val="12"/>
  </w:num>
  <w:num w:numId="5" w16cid:durableId="1127166432">
    <w:abstractNumId w:val="15"/>
  </w:num>
  <w:num w:numId="6" w16cid:durableId="42870242">
    <w:abstractNumId w:val="16"/>
  </w:num>
  <w:num w:numId="7" w16cid:durableId="1194149269">
    <w:abstractNumId w:val="13"/>
  </w:num>
  <w:num w:numId="8" w16cid:durableId="968316915">
    <w:abstractNumId w:val="7"/>
  </w:num>
  <w:num w:numId="9" w16cid:durableId="704793172">
    <w:abstractNumId w:val="6"/>
  </w:num>
  <w:num w:numId="10" w16cid:durableId="672147713">
    <w:abstractNumId w:val="5"/>
  </w:num>
  <w:num w:numId="11" w16cid:durableId="1162159400">
    <w:abstractNumId w:val="4"/>
  </w:num>
  <w:num w:numId="12" w16cid:durableId="935819544">
    <w:abstractNumId w:val="3"/>
  </w:num>
  <w:num w:numId="13" w16cid:durableId="179321395">
    <w:abstractNumId w:val="2"/>
  </w:num>
  <w:num w:numId="14" w16cid:durableId="14236484">
    <w:abstractNumId w:val="1"/>
  </w:num>
  <w:num w:numId="15" w16cid:durableId="1163810868">
    <w:abstractNumId w:val="0"/>
  </w:num>
  <w:num w:numId="16" w16cid:durableId="1393504710">
    <w:abstractNumId w:val="8"/>
  </w:num>
  <w:num w:numId="17" w16cid:durableId="52389452">
    <w:abstractNumId w:val="8"/>
  </w:num>
  <w:num w:numId="18" w16cid:durableId="99764239">
    <w:abstractNumId w:val="8"/>
  </w:num>
  <w:num w:numId="19" w16cid:durableId="1454326814">
    <w:abstractNumId w:val="8"/>
  </w:num>
  <w:num w:numId="20" w16cid:durableId="355235266">
    <w:abstractNumId w:val="8"/>
  </w:num>
  <w:num w:numId="21" w16cid:durableId="423111010">
    <w:abstractNumId w:val="8"/>
  </w:num>
  <w:num w:numId="22" w16cid:durableId="660080517">
    <w:abstractNumId w:val="8"/>
  </w:num>
  <w:num w:numId="23" w16cid:durableId="1260798534">
    <w:abstractNumId w:val="8"/>
  </w:num>
  <w:num w:numId="24" w16cid:durableId="994186577">
    <w:abstractNumId w:val="8"/>
  </w:num>
  <w:num w:numId="25" w16cid:durableId="700982447">
    <w:abstractNumId w:val="8"/>
  </w:num>
  <w:num w:numId="26" w16cid:durableId="903299320">
    <w:abstractNumId w:val="8"/>
  </w:num>
  <w:num w:numId="27" w16cid:durableId="1350402041">
    <w:abstractNumId w:val="8"/>
  </w:num>
  <w:num w:numId="28" w16cid:durableId="1844321769">
    <w:abstractNumId w:val="8"/>
  </w:num>
  <w:num w:numId="29" w16cid:durableId="49381015">
    <w:abstractNumId w:val="8"/>
  </w:num>
  <w:num w:numId="30" w16cid:durableId="1613704288">
    <w:abstractNumId w:val="8"/>
  </w:num>
  <w:num w:numId="31" w16cid:durableId="1580826289">
    <w:abstractNumId w:val="8"/>
  </w:num>
  <w:num w:numId="32" w16cid:durableId="2142453317">
    <w:abstractNumId w:val="8"/>
  </w:num>
  <w:num w:numId="33" w16cid:durableId="1657956187">
    <w:abstractNumId w:val="8"/>
  </w:num>
  <w:num w:numId="34" w16cid:durableId="1729262350">
    <w:abstractNumId w:val="8"/>
  </w:num>
  <w:num w:numId="35" w16cid:durableId="753821581">
    <w:abstractNumId w:val="8"/>
  </w:num>
  <w:num w:numId="36" w16cid:durableId="4867302">
    <w:abstractNumId w:val="8"/>
  </w:num>
  <w:num w:numId="37" w16cid:durableId="1516728113">
    <w:abstractNumId w:val="8"/>
  </w:num>
  <w:num w:numId="38" w16cid:durableId="93206298">
    <w:abstractNumId w:val="8"/>
  </w:num>
  <w:num w:numId="39" w16cid:durableId="922372996">
    <w:abstractNumId w:val="8"/>
  </w:num>
  <w:num w:numId="40" w16cid:durableId="862859165">
    <w:abstractNumId w:val="8"/>
  </w:num>
  <w:num w:numId="41" w16cid:durableId="698506624">
    <w:abstractNumId w:val="8"/>
  </w:num>
  <w:num w:numId="42" w16cid:durableId="170728237">
    <w:abstractNumId w:val="8"/>
  </w:num>
  <w:num w:numId="43" w16cid:durableId="1739787463">
    <w:abstractNumId w:val="8"/>
  </w:num>
  <w:num w:numId="44" w16cid:durableId="1815827266">
    <w:abstractNumId w:val="8"/>
  </w:num>
  <w:num w:numId="45" w16cid:durableId="761603527">
    <w:abstractNumId w:val="8"/>
  </w:num>
  <w:num w:numId="46" w16cid:durableId="2013677837">
    <w:abstractNumId w:val="10"/>
  </w:num>
  <w:num w:numId="47" w16cid:durableId="557983573">
    <w:abstractNumId w:val="17"/>
  </w:num>
  <w:num w:numId="48" w16cid:durableId="2026444380">
    <w:abstractNumId w:val="14"/>
  </w:num>
  <w:num w:numId="49" w16cid:durableId="1012802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B5"/>
    <w:rsid w:val="00016917"/>
    <w:rsid w:val="000228C0"/>
    <w:rsid w:val="00027BE3"/>
    <w:rsid w:val="00042D6E"/>
    <w:rsid w:val="00044FC0"/>
    <w:rsid w:val="00066800"/>
    <w:rsid w:val="00085B0E"/>
    <w:rsid w:val="00095A40"/>
    <w:rsid w:val="000F3D5D"/>
    <w:rsid w:val="000F4705"/>
    <w:rsid w:val="00117BB2"/>
    <w:rsid w:val="00122300"/>
    <w:rsid w:val="00126564"/>
    <w:rsid w:val="001278E7"/>
    <w:rsid w:val="00127A13"/>
    <w:rsid w:val="00131754"/>
    <w:rsid w:val="00132C74"/>
    <w:rsid w:val="00141507"/>
    <w:rsid w:val="00142C18"/>
    <w:rsid w:val="00164D64"/>
    <w:rsid w:val="001668E8"/>
    <w:rsid w:val="001705F5"/>
    <w:rsid w:val="00177A23"/>
    <w:rsid w:val="001800B6"/>
    <w:rsid w:val="00190922"/>
    <w:rsid w:val="00192BA9"/>
    <w:rsid w:val="001C30B8"/>
    <w:rsid w:val="00215F72"/>
    <w:rsid w:val="00227CC0"/>
    <w:rsid w:val="00240BBA"/>
    <w:rsid w:val="002537E5"/>
    <w:rsid w:val="00272B05"/>
    <w:rsid w:val="00294028"/>
    <w:rsid w:val="002A3A86"/>
    <w:rsid w:val="002A4301"/>
    <w:rsid w:val="002C6F62"/>
    <w:rsid w:val="002D495D"/>
    <w:rsid w:val="002D6D73"/>
    <w:rsid w:val="002F1C41"/>
    <w:rsid w:val="003046F5"/>
    <w:rsid w:val="0031562C"/>
    <w:rsid w:val="00326764"/>
    <w:rsid w:val="00342564"/>
    <w:rsid w:val="003475B2"/>
    <w:rsid w:val="0036007E"/>
    <w:rsid w:val="00363E46"/>
    <w:rsid w:val="00372D5B"/>
    <w:rsid w:val="003836B7"/>
    <w:rsid w:val="00385C38"/>
    <w:rsid w:val="003A7E70"/>
    <w:rsid w:val="003B1006"/>
    <w:rsid w:val="003C1E78"/>
    <w:rsid w:val="003D2442"/>
    <w:rsid w:val="003D2F1A"/>
    <w:rsid w:val="003E1CD2"/>
    <w:rsid w:val="003E2F71"/>
    <w:rsid w:val="003E4A11"/>
    <w:rsid w:val="003E7EB5"/>
    <w:rsid w:val="003F7D41"/>
    <w:rsid w:val="00430D21"/>
    <w:rsid w:val="00432925"/>
    <w:rsid w:val="00453DE0"/>
    <w:rsid w:val="0047082C"/>
    <w:rsid w:val="004807F4"/>
    <w:rsid w:val="00492067"/>
    <w:rsid w:val="004A00C2"/>
    <w:rsid w:val="004B18CB"/>
    <w:rsid w:val="004C0AC6"/>
    <w:rsid w:val="004D5DDB"/>
    <w:rsid w:val="004E77D6"/>
    <w:rsid w:val="004F0B11"/>
    <w:rsid w:val="00500597"/>
    <w:rsid w:val="00501E25"/>
    <w:rsid w:val="00505E7D"/>
    <w:rsid w:val="00541D83"/>
    <w:rsid w:val="00551147"/>
    <w:rsid w:val="00566A88"/>
    <w:rsid w:val="005B3F6A"/>
    <w:rsid w:val="005D3357"/>
    <w:rsid w:val="005D387F"/>
    <w:rsid w:val="005E320D"/>
    <w:rsid w:val="005E699E"/>
    <w:rsid w:val="00603CE7"/>
    <w:rsid w:val="00636F04"/>
    <w:rsid w:val="00646355"/>
    <w:rsid w:val="0068355E"/>
    <w:rsid w:val="006876AB"/>
    <w:rsid w:val="006B1F66"/>
    <w:rsid w:val="006C287D"/>
    <w:rsid w:val="006D3D5A"/>
    <w:rsid w:val="006D5C8D"/>
    <w:rsid w:val="006E4ED3"/>
    <w:rsid w:val="006F1B29"/>
    <w:rsid w:val="006F7A76"/>
    <w:rsid w:val="007026F5"/>
    <w:rsid w:val="00712D08"/>
    <w:rsid w:val="00717041"/>
    <w:rsid w:val="00721F6F"/>
    <w:rsid w:val="00746832"/>
    <w:rsid w:val="00755453"/>
    <w:rsid w:val="00776ECC"/>
    <w:rsid w:val="007A0A5B"/>
    <w:rsid w:val="007A6934"/>
    <w:rsid w:val="007A7B89"/>
    <w:rsid w:val="007B00EB"/>
    <w:rsid w:val="007B5BFF"/>
    <w:rsid w:val="0080710C"/>
    <w:rsid w:val="0081272C"/>
    <w:rsid w:val="00815B66"/>
    <w:rsid w:val="0081753B"/>
    <w:rsid w:val="00844C26"/>
    <w:rsid w:val="00844CC3"/>
    <w:rsid w:val="008513C1"/>
    <w:rsid w:val="0086205E"/>
    <w:rsid w:val="0086750B"/>
    <w:rsid w:val="00873FC1"/>
    <w:rsid w:val="0087578E"/>
    <w:rsid w:val="00882E6A"/>
    <w:rsid w:val="008930E0"/>
    <w:rsid w:val="008A3B0F"/>
    <w:rsid w:val="008D2F28"/>
    <w:rsid w:val="0090525B"/>
    <w:rsid w:val="00926E1E"/>
    <w:rsid w:val="00936CD7"/>
    <w:rsid w:val="009466EC"/>
    <w:rsid w:val="00955B5B"/>
    <w:rsid w:val="009620A0"/>
    <w:rsid w:val="00970CC1"/>
    <w:rsid w:val="009865D8"/>
    <w:rsid w:val="009B0674"/>
    <w:rsid w:val="009B5E8A"/>
    <w:rsid w:val="009B76E2"/>
    <w:rsid w:val="00A26333"/>
    <w:rsid w:val="00AA480C"/>
    <w:rsid w:val="00AB5D8A"/>
    <w:rsid w:val="00AC07C1"/>
    <w:rsid w:val="00B0684A"/>
    <w:rsid w:val="00B2315D"/>
    <w:rsid w:val="00B46725"/>
    <w:rsid w:val="00B8453C"/>
    <w:rsid w:val="00B96513"/>
    <w:rsid w:val="00BB2A27"/>
    <w:rsid w:val="00BB6427"/>
    <w:rsid w:val="00BC4D42"/>
    <w:rsid w:val="00C1322E"/>
    <w:rsid w:val="00C3066A"/>
    <w:rsid w:val="00C65E4B"/>
    <w:rsid w:val="00C75B20"/>
    <w:rsid w:val="00C7637F"/>
    <w:rsid w:val="00CA3C66"/>
    <w:rsid w:val="00CD3FE4"/>
    <w:rsid w:val="00CD493A"/>
    <w:rsid w:val="00CF120C"/>
    <w:rsid w:val="00D203C1"/>
    <w:rsid w:val="00D732A4"/>
    <w:rsid w:val="00D962B8"/>
    <w:rsid w:val="00DC1B04"/>
    <w:rsid w:val="00DE005B"/>
    <w:rsid w:val="00DE2567"/>
    <w:rsid w:val="00E16B08"/>
    <w:rsid w:val="00E175C3"/>
    <w:rsid w:val="00E725CA"/>
    <w:rsid w:val="00E7527C"/>
    <w:rsid w:val="00E75486"/>
    <w:rsid w:val="00EC0327"/>
    <w:rsid w:val="00EC27A9"/>
    <w:rsid w:val="00EC56FD"/>
    <w:rsid w:val="00EF0A65"/>
    <w:rsid w:val="00EF229E"/>
    <w:rsid w:val="00EF74E1"/>
    <w:rsid w:val="00F5254C"/>
    <w:rsid w:val="00F64BEF"/>
    <w:rsid w:val="00F66BBA"/>
    <w:rsid w:val="00F72A56"/>
    <w:rsid w:val="00F74FFE"/>
    <w:rsid w:val="00F86D6B"/>
    <w:rsid w:val="00F92FB5"/>
    <w:rsid w:val="00FA6FB5"/>
    <w:rsid w:val="00FC7FAC"/>
    <w:rsid w:val="00FD0EEC"/>
    <w:rsid w:val="00FD52DF"/>
    <w:rsid w:val="00FD63C6"/>
    <w:rsid w:val="00FE70B1"/>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8C802A"/>
  <w15:chartTrackingRefBased/>
  <w15:docId w15:val="{63D5EA6A-054D-443A-ABA9-300C8E8A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D5B"/>
    <w:pPr>
      <w:spacing w:before="160" w:after="160" w:line="300" w:lineRule="auto"/>
      <w:jc w:val="both"/>
    </w:pPr>
    <w:rPr>
      <w:rFonts w:ascii="Arial" w:hAnsi="Arial" w:cs="Times New Roman (Body CS)"/>
      <w:color w:val="000000" w:themeColor="text1"/>
      <w:spacing w:val="6"/>
    </w:rPr>
  </w:style>
  <w:style w:type="paragraph" w:styleId="Heading1">
    <w:name w:val="heading 1"/>
    <w:basedOn w:val="Normal"/>
    <w:link w:val="Heading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5D7879"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Heading3">
    <w:name w:val="heading 3"/>
    <w:basedOn w:val="Normal"/>
    <w:link w:val="Heading3Ch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9620A0"/>
    <w:pPr>
      <w:spacing w:before="0" w:line="180" w:lineRule="auto"/>
      <w:ind w:left="5040" w:right="-1944"/>
      <w:contextualSpacing/>
    </w:pPr>
    <w:rPr>
      <w:rFonts w:ascii="Century Gothic" w:eastAsiaTheme="majorEastAsia" w:hAnsi="Century Gothic" w:cstheme="majorBidi"/>
      <w:color w:val="5D7879" w:themeColor="accent4"/>
      <w:kern w:val="28"/>
      <w:sz w:val="120"/>
      <w:szCs w:val="72"/>
    </w:rPr>
  </w:style>
  <w:style w:type="character" w:customStyle="1" w:styleId="TitleChar">
    <w:name w:val="Title Char"/>
    <w:basedOn w:val="DefaultParagraphFont"/>
    <w:link w:val="Title"/>
    <w:uiPriority w:val="1"/>
    <w:rsid w:val="009620A0"/>
    <w:rPr>
      <w:rFonts w:ascii="Century Gothic" w:eastAsiaTheme="majorEastAsia" w:hAnsi="Century Gothic" w:cstheme="majorBidi"/>
      <w:color w:val="5D7879" w:themeColor="accent4"/>
      <w:spacing w:val="6"/>
      <w:kern w:val="28"/>
      <w:sz w:val="120"/>
      <w:szCs w:val="72"/>
    </w:rPr>
  </w:style>
  <w:style w:type="paragraph" w:customStyle="1" w:styleId="ContactInfo">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semiHidden/>
    <w:rsid w:val="00566A88"/>
    <w:pPr>
      <w:spacing w:line="240" w:lineRule="auto"/>
    </w:pPr>
  </w:style>
  <w:style w:type="character" w:customStyle="1" w:styleId="HeaderChar">
    <w:name w:val="Header Char"/>
    <w:basedOn w:val="DefaultParagraphFont"/>
    <w:link w:val="Header"/>
    <w:uiPriority w:val="99"/>
    <w:semiHidden/>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206843" w:themeColor="accent1"/>
      <w:sz w:val="48"/>
    </w:rPr>
  </w:style>
  <w:style w:type="character" w:customStyle="1" w:styleId="FooterChar">
    <w:name w:val="Footer Char"/>
    <w:basedOn w:val="DefaultParagraphFont"/>
    <w:link w:val="Footer"/>
    <w:uiPriority w:val="99"/>
    <w:semiHidden/>
    <w:rsid w:val="00955B5B"/>
    <w:rPr>
      <w:rFonts w:ascii="Georgia Pro" w:hAnsi="Georgia Pro" w:cs="Times New Roman (Body CS)"/>
      <w:color w:val="206843" w:themeColor="accent1"/>
      <w:spacing w:val="6"/>
      <w:sz w:val="48"/>
    </w:rPr>
  </w:style>
  <w:style w:type="character" w:customStyle="1" w:styleId="Heading1Char">
    <w:name w:val="Heading 1 Char"/>
    <w:basedOn w:val="DefaultParagraphFont"/>
    <w:link w:val="Heading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Heading2Char">
    <w:name w:val="Heading 2 Char"/>
    <w:basedOn w:val="DefaultParagraphFont"/>
    <w:link w:val="Heading2"/>
    <w:uiPriority w:val="9"/>
    <w:rsid w:val="00955B5B"/>
    <w:rPr>
      <w:rFonts w:ascii="Century Gothic" w:hAnsi="Century Gothic" w:cs="Times New Roman (Body CS)"/>
      <w:caps/>
      <w:color w:val="B68E3F" w:themeColor="accent2" w:themeShade="BF"/>
      <w:spacing w:val="6"/>
      <w:sz w:val="40"/>
    </w:rPr>
  </w:style>
  <w:style w:type="paragraph" w:styleId="ListBullet">
    <w:name w:val="List Bullet"/>
    <w:basedOn w:val="Normal"/>
    <w:uiPriority w:val="11"/>
    <w:qFormat/>
    <w:rsid w:val="00044FC0"/>
    <w:pPr>
      <w:numPr>
        <w:numId w:val="1"/>
      </w:numPr>
    </w:pPr>
  </w:style>
  <w:style w:type="character" w:customStyle="1" w:styleId="Heading3Char">
    <w:name w:val="Heading 3 Char"/>
    <w:basedOn w:val="DefaultParagraphFont"/>
    <w:link w:val="Heading3"/>
    <w:uiPriority w:val="9"/>
    <w:rsid w:val="00955B5B"/>
    <w:rPr>
      <w:rFonts w:ascii="Georgia Pro" w:hAnsi="Georgia Pro" w:cs="Times New Roman (Body CS)"/>
      <w:caps/>
      <w:color w:val="103421" w:themeColor="accent1" w:themeShade="80"/>
      <w:spacing w:val="6"/>
      <w:sz w:val="24"/>
    </w:rPr>
  </w:style>
  <w:style w:type="character" w:customStyle="1" w:styleId="Heading8Char">
    <w:name w:val="Heading 8 Char"/>
    <w:basedOn w:val="DefaultParagraphFont"/>
    <w:link w:val="Heading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44546A" w:themeColor="text2"/>
      <w:szCs w:val="18"/>
    </w:rPr>
  </w:style>
  <w:style w:type="paragraph" w:customStyle="1" w:styleId="ContactHeading">
    <w:name w:val="Contact Heading"/>
    <w:basedOn w:val="Normal"/>
    <w:next w:val="ContactInfo"/>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103421"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45"/>
      </w:numPr>
      <w:contextualSpacing/>
    </w:pPr>
  </w:style>
  <w:style w:type="paragraph" w:customStyle="1" w:styleId="Small">
    <w:name w:val="Small"/>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customStyle="1" w:styleId="Title1">
    <w:name w:val="Title 1"/>
    <w:basedOn w:val="Title"/>
    <w:semiHidden/>
    <w:qFormat/>
    <w:rsid w:val="00844CC3"/>
    <w:pPr>
      <w:ind w:left="540"/>
    </w:pPr>
  </w:style>
  <w:style w:type="paragraph" w:customStyle="1" w:styleId="GreenHeading">
    <w:name w:val="Green Heading"/>
    <w:basedOn w:val="Heading1"/>
    <w:semiHidden/>
    <w:qFormat/>
    <w:rsid w:val="00B2315D"/>
    <w:pPr>
      <w:ind w:left="540" w:right="-2160"/>
    </w:pPr>
    <w:rPr>
      <w:spacing w:val="10"/>
    </w:rPr>
  </w:style>
  <w:style w:type="paragraph" w:customStyle="1" w:styleId="GoldHeading">
    <w:name w:val="Gold Heading"/>
    <w:basedOn w:val="Heading2"/>
    <w:semiHidden/>
    <w:qFormat/>
    <w:rsid w:val="002C6F62"/>
    <w:pPr>
      <w:ind w:left="540" w:right="-2160"/>
    </w:pPr>
    <w:rPr>
      <w:spacing w:val="10"/>
    </w:rPr>
  </w:style>
  <w:style w:type="paragraph" w:styleId="TOC2">
    <w:name w:val="toc 2"/>
    <w:basedOn w:val="Normal"/>
    <w:next w:val="Normal"/>
    <w:autoRedefine/>
    <w:uiPriority w:val="39"/>
    <w:unhideWhenUsed/>
    <w:rsid w:val="000F3D5D"/>
    <w:pPr>
      <w:spacing w:before="0" w:after="100" w:line="259" w:lineRule="auto"/>
      <w:ind w:left="220"/>
      <w:jc w:val="left"/>
    </w:pPr>
    <w:rPr>
      <w:rFonts w:asciiTheme="minorHAnsi" w:hAnsiTheme="minorHAnsi" w:cs="Times New Roman"/>
      <w:color w:val="auto"/>
      <w:spacing w:val="0"/>
      <w:lang w:val="en-GB" w:eastAsia="en-GB"/>
    </w:rPr>
  </w:style>
  <w:style w:type="paragraph" w:styleId="TOC1">
    <w:name w:val="toc 1"/>
    <w:basedOn w:val="Normal"/>
    <w:next w:val="Normal"/>
    <w:autoRedefine/>
    <w:uiPriority w:val="39"/>
    <w:unhideWhenUsed/>
    <w:rsid w:val="000F3D5D"/>
    <w:pPr>
      <w:spacing w:before="0" w:after="100" w:line="259" w:lineRule="auto"/>
      <w:jc w:val="left"/>
    </w:pPr>
    <w:rPr>
      <w:rFonts w:asciiTheme="minorHAnsi" w:hAnsiTheme="minorHAnsi" w:cs="Times New Roman"/>
      <w:color w:val="auto"/>
      <w:spacing w:val="0"/>
      <w:lang w:val="en-GB" w:eastAsia="en-GB"/>
    </w:rPr>
  </w:style>
  <w:style w:type="paragraph" w:styleId="TOC3">
    <w:name w:val="toc 3"/>
    <w:basedOn w:val="Normal"/>
    <w:next w:val="Normal"/>
    <w:autoRedefine/>
    <w:uiPriority w:val="39"/>
    <w:unhideWhenUsed/>
    <w:rsid w:val="000F3D5D"/>
    <w:pPr>
      <w:spacing w:before="0" w:after="100" w:line="259" w:lineRule="auto"/>
      <w:ind w:left="440"/>
      <w:jc w:val="left"/>
    </w:pPr>
    <w:rPr>
      <w:rFonts w:asciiTheme="minorHAnsi" w:hAnsiTheme="minorHAnsi" w:cs="Times New Roman"/>
      <w:color w:val="auto"/>
      <w:spacing w:val="0"/>
      <w:lang w:val="en-GB" w:eastAsia="en-GB"/>
    </w:rPr>
  </w:style>
  <w:style w:type="paragraph" w:styleId="ListParagraph">
    <w:name w:val="List Paragraph"/>
    <w:basedOn w:val="Normal"/>
    <w:uiPriority w:val="34"/>
    <w:unhideWhenUsed/>
    <w:qFormat/>
    <w:rsid w:val="00372D5B"/>
    <w:pPr>
      <w:ind w:left="720"/>
      <w:contextualSpacing/>
    </w:pPr>
  </w:style>
  <w:style w:type="paragraph" w:styleId="NormalWeb">
    <w:name w:val="Normal (Web)"/>
    <w:basedOn w:val="Normal"/>
    <w:uiPriority w:val="99"/>
    <w:semiHidden/>
    <w:unhideWhenUsed/>
    <w:rsid w:val="003046F5"/>
    <w:pPr>
      <w:spacing w:before="100" w:beforeAutospacing="1" w:after="100" w:afterAutospacing="1" w:line="240" w:lineRule="auto"/>
      <w:jc w:val="left"/>
    </w:pPr>
    <w:rPr>
      <w:rFonts w:ascii="Times New Roman" w:eastAsia="Times New Roman" w:hAnsi="Times New Roman" w:cs="Times New Roman"/>
      <w:color w:val="auto"/>
      <w:spacing w:val="0"/>
      <w:sz w:val="24"/>
      <w:szCs w:val="24"/>
      <w:lang w:val="en-GB" w:eastAsia="en-GB"/>
    </w:rPr>
  </w:style>
  <w:style w:type="character" w:customStyle="1" w:styleId="apple-tab-span">
    <w:name w:val="apple-tab-span"/>
    <w:basedOn w:val="DefaultParagraphFont"/>
    <w:rsid w:val="003046F5"/>
  </w:style>
  <w:style w:type="character" w:styleId="FootnoteReference">
    <w:name w:val="footnote reference"/>
    <w:basedOn w:val="DefaultParagraphFont"/>
    <w:uiPriority w:val="99"/>
    <w:semiHidden/>
    <w:unhideWhenUsed/>
    <w:rsid w:val="00EF0A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03972">
      <w:bodyDiv w:val="1"/>
      <w:marLeft w:val="0"/>
      <w:marRight w:val="0"/>
      <w:marTop w:val="0"/>
      <w:marBottom w:val="0"/>
      <w:divBdr>
        <w:top w:val="none" w:sz="0" w:space="0" w:color="auto"/>
        <w:left w:val="none" w:sz="0" w:space="0" w:color="auto"/>
        <w:bottom w:val="none" w:sz="0" w:space="0" w:color="auto"/>
        <w:right w:val="none" w:sz="0" w:space="0" w:color="auto"/>
      </w:divBdr>
    </w:div>
    <w:div w:id="465003905">
      <w:bodyDiv w:val="1"/>
      <w:marLeft w:val="0"/>
      <w:marRight w:val="0"/>
      <w:marTop w:val="0"/>
      <w:marBottom w:val="0"/>
      <w:divBdr>
        <w:top w:val="none" w:sz="0" w:space="0" w:color="auto"/>
        <w:left w:val="none" w:sz="0" w:space="0" w:color="auto"/>
        <w:bottom w:val="none" w:sz="0" w:space="0" w:color="auto"/>
        <w:right w:val="none" w:sz="0" w:space="0" w:color="auto"/>
      </w:divBdr>
    </w:div>
    <w:div w:id="495459658">
      <w:bodyDiv w:val="1"/>
      <w:marLeft w:val="0"/>
      <w:marRight w:val="0"/>
      <w:marTop w:val="0"/>
      <w:marBottom w:val="0"/>
      <w:divBdr>
        <w:top w:val="none" w:sz="0" w:space="0" w:color="auto"/>
        <w:left w:val="none" w:sz="0" w:space="0" w:color="auto"/>
        <w:bottom w:val="none" w:sz="0" w:space="0" w:color="auto"/>
        <w:right w:val="none" w:sz="0" w:space="0" w:color="auto"/>
      </w:divBdr>
    </w:div>
    <w:div w:id="516621288">
      <w:bodyDiv w:val="1"/>
      <w:marLeft w:val="0"/>
      <w:marRight w:val="0"/>
      <w:marTop w:val="0"/>
      <w:marBottom w:val="0"/>
      <w:divBdr>
        <w:top w:val="none" w:sz="0" w:space="0" w:color="auto"/>
        <w:left w:val="none" w:sz="0" w:space="0" w:color="auto"/>
        <w:bottom w:val="none" w:sz="0" w:space="0" w:color="auto"/>
        <w:right w:val="none" w:sz="0" w:space="0" w:color="auto"/>
      </w:divBdr>
    </w:div>
    <w:div w:id="517617532">
      <w:bodyDiv w:val="1"/>
      <w:marLeft w:val="0"/>
      <w:marRight w:val="0"/>
      <w:marTop w:val="0"/>
      <w:marBottom w:val="0"/>
      <w:divBdr>
        <w:top w:val="none" w:sz="0" w:space="0" w:color="auto"/>
        <w:left w:val="none" w:sz="0" w:space="0" w:color="auto"/>
        <w:bottom w:val="none" w:sz="0" w:space="0" w:color="auto"/>
        <w:right w:val="none" w:sz="0" w:space="0" w:color="auto"/>
      </w:divBdr>
    </w:div>
    <w:div w:id="673536299">
      <w:bodyDiv w:val="1"/>
      <w:marLeft w:val="0"/>
      <w:marRight w:val="0"/>
      <w:marTop w:val="0"/>
      <w:marBottom w:val="0"/>
      <w:divBdr>
        <w:top w:val="none" w:sz="0" w:space="0" w:color="auto"/>
        <w:left w:val="none" w:sz="0" w:space="0" w:color="auto"/>
        <w:bottom w:val="none" w:sz="0" w:space="0" w:color="auto"/>
        <w:right w:val="none" w:sz="0" w:space="0" w:color="auto"/>
      </w:divBdr>
    </w:div>
    <w:div w:id="722559943">
      <w:bodyDiv w:val="1"/>
      <w:marLeft w:val="0"/>
      <w:marRight w:val="0"/>
      <w:marTop w:val="0"/>
      <w:marBottom w:val="0"/>
      <w:divBdr>
        <w:top w:val="none" w:sz="0" w:space="0" w:color="auto"/>
        <w:left w:val="none" w:sz="0" w:space="0" w:color="auto"/>
        <w:bottom w:val="none" w:sz="0" w:space="0" w:color="auto"/>
        <w:right w:val="none" w:sz="0" w:space="0" w:color="auto"/>
      </w:divBdr>
    </w:div>
    <w:div w:id="1118374757">
      <w:bodyDiv w:val="1"/>
      <w:marLeft w:val="0"/>
      <w:marRight w:val="0"/>
      <w:marTop w:val="0"/>
      <w:marBottom w:val="0"/>
      <w:divBdr>
        <w:top w:val="none" w:sz="0" w:space="0" w:color="auto"/>
        <w:left w:val="none" w:sz="0" w:space="0" w:color="auto"/>
        <w:bottom w:val="none" w:sz="0" w:space="0" w:color="auto"/>
        <w:right w:val="none" w:sz="0" w:space="0" w:color="auto"/>
      </w:divBdr>
    </w:div>
    <w:div w:id="1172181900">
      <w:bodyDiv w:val="1"/>
      <w:marLeft w:val="0"/>
      <w:marRight w:val="0"/>
      <w:marTop w:val="0"/>
      <w:marBottom w:val="0"/>
      <w:divBdr>
        <w:top w:val="none" w:sz="0" w:space="0" w:color="auto"/>
        <w:left w:val="none" w:sz="0" w:space="0" w:color="auto"/>
        <w:bottom w:val="none" w:sz="0" w:space="0" w:color="auto"/>
        <w:right w:val="none" w:sz="0" w:space="0" w:color="auto"/>
      </w:divBdr>
    </w:div>
    <w:div w:id="1191332686">
      <w:bodyDiv w:val="1"/>
      <w:marLeft w:val="0"/>
      <w:marRight w:val="0"/>
      <w:marTop w:val="0"/>
      <w:marBottom w:val="0"/>
      <w:divBdr>
        <w:top w:val="none" w:sz="0" w:space="0" w:color="auto"/>
        <w:left w:val="none" w:sz="0" w:space="0" w:color="auto"/>
        <w:bottom w:val="none" w:sz="0" w:space="0" w:color="auto"/>
        <w:right w:val="none" w:sz="0" w:space="0" w:color="auto"/>
      </w:divBdr>
    </w:div>
    <w:div w:id="1491672794">
      <w:bodyDiv w:val="1"/>
      <w:marLeft w:val="0"/>
      <w:marRight w:val="0"/>
      <w:marTop w:val="0"/>
      <w:marBottom w:val="0"/>
      <w:divBdr>
        <w:top w:val="none" w:sz="0" w:space="0" w:color="auto"/>
        <w:left w:val="none" w:sz="0" w:space="0" w:color="auto"/>
        <w:bottom w:val="none" w:sz="0" w:space="0" w:color="auto"/>
        <w:right w:val="none" w:sz="0" w:space="0" w:color="auto"/>
      </w:divBdr>
    </w:div>
    <w:div w:id="1542133469">
      <w:bodyDiv w:val="1"/>
      <w:marLeft w:val="0"/>
      <w:marRight w:val="0"/>
      <w:marTop w:val="0"/>
      <w:marBottom w:val="0"/>
      <w:divBdr>
        <w:top w:val="none" w:sz="0" w:space="0" w:color="auto"/>
        <w:left w:val="none" w:sz="0" w:space="0" w:color="auto"/>
        <w:bottom w:val="none" w:sz="0" w:space="0" w:color="auto"/>
        <w:right w:val="none" w:sz="0" w:space="0" w:color="auto"/>
      </w:divBdr>
    </w:div>
    <w:div w:id="1710373895">
      <w:bodyDiv w:val="1"/>
      <w:marLeft w:val="0"/>
      <w:marRight w:val="0"/>
      <w:marTop w:val="0"/>
      <w:marBottom w:val="0"/>
      <w:divBdr>
        <w:top w:val="none" w:sz="0" w:space="0" w:color="auto"/>
        <w:left w:val="none" w:sz="0" w:space="0" w:color="auto"/>
        <w:bottom w:val="none" w:sz="0" w:space="0" w:color="auto"/>
        <w:right w:val="none" w:sz="0" w:space="0" w:color="auto"/>
      </w:divBdr>
    </w:div>
    <w:div w:id="18793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afn\AppData\Roaming\Microsoft\Templates\Student%20report.dotx" TargetMode="External"/></Relationship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2.xml><?xml version="1.0" encoding="utf-8"?>
<ds:datastoreItem xmlns:ds="http://schemas.openxmlformats.org/officeDocument/2006/customXml" ds:itemID="{77D014C2-B94B-4EF8-8A6A-E31E3B4AA546}">
  <ds:schemaRefs>
    <ds:schemaRef ds:uri="http://schemas.microsoft.com/sharepoint/v3/contenttype/forms"/>
  </ds:schemaRefs>
</ds:datastoreItem>
</file>

<file path=customXml/itemProps3.xml><?xml version="1.0" encoding="utf-8"?>
<ds:datastoreItem xmlns:ds="http://schemas.openxmlformats.org/officeDocument/2006/customXml" ds:itemID="{1679BDE7-21DB-4FFD-A4D0-BAD52FA13D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4CD18B-25AD-4146-8C2E-8211B5CD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Student report</Template>
  <TotalTime>0</TotalTime>
  <Pages>9</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Lafont</dc:creator>
  <cp:lastModifiedBy>Lafont Nathan</cp:lastModifiedBy>
  <cp:revision>13</cp:revision>
  <dcterms:created xsi:type="dcterms:W3CDTF">2025-05-14T06:15:00Z</dcterms:created>
  <dcterms:modified xsi:type="dcterms:W3CDTF">2025-05-15T07:27:00Z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