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配置核查报告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任务名称</w:t>
            </w:r>
          </w:p>
        </w:tc>
        <w:tc>
          <w:tcPr>
            <w:tcW w:type="dxa" w:w="2160"/>
          </w:tcPr>
          <w:p>
            <w:r>
              <w:t>gui-task</w:t>
            </w:r>
          </w:p>
        </w:tc>
        <w:tc>
          <w:tcPr>
            <w:tcW w:type="dxa" w:w="2160"/>
          </w:tcPr>
          <w:p>
            <w:r>
              <w:t>设备类型</w:t>
            </w:r>
          </w:p>
        </w:tc>
        <w:tc>
          <w:tcPr>
            <w:tcW w:type="dxa" w:w="2160"/>
          </w:tcPr>
          <w:p>
            <w:r>
              <w:t>交换机</w:t>
            </w:r>
          </w:p>
        </w:tc>
      </w:tr>
      <w:tr>
        <w:tc>
          <w:tcPr>
            <w:tcW w:type="dxa" w:w="2160"/>
          </w:tcPr>
          <w:p>
            <w:r>
              <w:t>设备品牌</w:t>
            </w:r>
          </w:p>
        </w:tc>
        <w:tc>
          <w:tcPr>
            <w:tcW w:type="dxa" w:w="2160"/>
          </w:tcPr>
          <w:p>
            <w:r>
              <w:t>华为</w:t>
            </w:r>
          </w:p>
        </w:tc>
        <w:tc>
          <w:tcPr>
            <w:tcW w:type="dxa" w:w="2160"/>
          </w:tcPr>
          <w:p>
            <w:r>
              <w:t>配置文件</w:t>
            </w:r>
          </w:p>
        </w:tc>
        <w:tc>
          <w:tcPr>
            <w:tcW w:type="dxa" w:w="2160"/>
          </w:tcPr>
          <w:p>
            <w:r>
              <w:t>C:\Users\O\Desktop\安全基线排查工具\ConfigChecker\config_file\Network\huawei.txt</w:t>
            </w:r>
          </w:p>
        </w:tc>
      </w:tr>
      <w:tr>
        <w:tc>
          <w:tcPr>
            <w:tcW w:type="dxa" w:w="2160"/>
          </w:tcPr>
          <w:p>
            <w:r>
              <w:t>生成时间</w:t>
            </w:r>
          </w:p>
        </w:tc>
        <w:tc>
          <w:tcPr>
            <w:tcW w:type="dxa" w:w="2160"/>
          </w:tcPr>
          <w:p>
            <w:r>
              <w:t>2026-07-08 10:57:05</w:t>
            </w:r>
          </w:p>
        </w:tc>
        <w:tc>
          <w:tcPr>
            <w:tcW w:type="dxa" w:w="2160"/>
          </w:tcPr>
          <w:p>
            <w:r>
              <w:t>检查项数量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</w:tbl>
    <w:p>
      <w:pPr>
        <w:pStyle w:val="Heading1"/>
      </w:pPr>
      <w:r>
        <w:t>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需复核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pPr>
        <w:pStyle w:val="Heading1"/>
      </w:pPr>
      <w:r>
        <w:t>检查项明细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检查项</w:t>
            </w:r>
          </w:p>
        </w:tc>
        <w:tc>
          <w:tcPr>
            <w:tcW w:type="dxa" w:w="1440"/>
          </w:tcPr>
          <w:p>
            <w:r>
              <w:t>风险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  <w:tc>
          <w:tcPr>
            <w:tcW w:type="dxa" w:w="1440"/>
          </w:tcPr>
          <w:p>
            <w:r>
              <w:t>证据</w:t>
            </w:r>
          </w:p>
        </w:tc>
        <w:tc>
          <w:tcPr>
            <w:tcW w:type="dxa" w:w="1440"/>
          </w:tcPr>
          <w:p>
            <w:r>
              <w:t>原因</w:t>
            </w:r>
          </w:p>
        </w:tc>
        <w:tc>
          <w:tcPr>
            <w:tcW w:type="dxa" w:w="1440"/>
          </w:tcPr>
          <w:p>
            <w:r>
              <w:t>整改建议</w:t>
            </w:r>
          </w:p>
        </w:tc>
      </w:tr>
      <w:tr>
        <w:tc>
          <w:tcPr>
            <w:tcW w:type="dxa" w:w="1440"/>
          </w:tcPr>
          <w:p>
            <w:r>
              <w:t>HUA-NET-001 SSH与Telnet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L14: undo http server enable</w:t>
              <w:br/>
              <w:t>L15: undo http secure-server enable</w:t>
              <w:br/>
              <w:t>L17: undo nap slave enable</w:t>
              <w:br/>
              <w:t>L52: acl number 2000</w:t>
              <w:br/>
              <w:t>L62: acl number 2100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HUA-NET-002 AAA与本地用户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HUA-NET-003 日志与NTP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SSH管理安全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L14: undo http server enable</w:t>
              <w:br/>
              <w:t>L15: undo http secure-server enable</w:t>
              <w:br/>
              <w:t>L17: undo nap slave enable</w:t>
              <w:br/>
              <w:t>L52: acl number 2000</w:t>
              <w:br/>
              <w:t>L62: acl number 2100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VRP-AAA口令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VRP-SNMPv3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VRP-SSH与Telnet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VRP-VTY-ACL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VRP-日志NTP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日志与时间同步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交换机VLAN配置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L10: vlan batch 200 241 to 242 701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交换机日志审计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交换机端口安全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交换机管理安全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入侵防范-SNMP安全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入侵防范-关闭高危服务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L14: undo http server enable</w:t>
              <w:br/>
              <w:t>L15: undo http secure-server enable</w:t>
              <w:br/>
              <w:t>L17: undo nap slave enable</w:t>
              <w:br/>
              <w:t>L52: acl number 2000</w:t>
              <w:br/>
              <w:t>L62: acl number 2100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入侵防范-端口安全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L8: ipv6</w:t>
              <w:br/>
              <w:t>L12: undo telnet server enable</w:t>
              <w:br/>
              <w:t>L17: undo nap slave enable</w:t>
              <w:br/>
              <w:t>L21: user-bind static ip-address 192.168.37.130 mac-address 6c0b-84de-4b59 interface GigabitEthernet0/0/36</w:t>
              <w:br/>
              <w:t>L22: user-bind static ip-address 192.168.37.133 mac-address 6c0b-84de-4d07 interface GigabitEthernet0/0/20</w:t>
              <w:br/>
              <w:t>L23: user-bind static ip-address 192.168.37.143 mac-address 6c0b-849a-3669 interface GigabitEthernet0/0/42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安全审计-日志服务器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网络架构-VLAN隔离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L10: vlan batch 200 241 to 242 701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访问控制-ACL最小化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身份鉴别-加密管理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身份鉴别-本地账户</w:t>
            </w:r>
          </w:p>
        </w:tc>
        <w:tc>
          <w:tcPr>
            <w:tcW w:type="dxa" w:w="1440"/>
          </w:tcPr>
          <w:p>
            <w:r>
              <w:t>高风险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  <w:tr>
        <w:tc>
          <w:tcPr>
            <w:tcW w:type="dxa" w:w="1440"/>
          </w:tcPr>
          <w:p>
            <w:r>
              <w:t>身份鉴别-登录超时失败</w:t>
            </w:r>
          </w:p>
        </w:tc>
        <w:tc>
          <w:tcPr>
            <w:tcW w:type="dxa" w:w="1440"/>
          </w:tcPr>
          <w:p>
            <w:r>
              <w:t>中风险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需复核</w:t>
            </w:r>
          </w:p>
        </w:tc>
        <w:tc>
          <w:tcPr>
            <w:tcW w:type="dxa" w:w="1440"/>
          </w:tcPr>
          <w:p>
            <w:r>
              <w:t>L5: info-center loghost source Vlanif701</w:t>
              <w:br/>
              <w:t>L6: info-center loghost 192.168.42.151 facility local5</w:t>
              <w:br/>
              <w:t>L12: undo telnet server enable</w:t>
              <w:br/>
              <w:t>L17: undo nap slave enable</w:t>
              <w:br/>
              <w:t>L52: acl number 2000</w:t>
              <w:br/>
              <w:t>L62: acl number 2100</w:t>
              <w:br/>
              <w:t>L63: description Limit_access_SNMP_Service</w:t>
              <w:br/>
              <w:t>L68: acl number 3000</w:t>
            </w:r>
          </w:p>
        </w:tc>
        <w:tc>
          <w:tcPr>
            <w:tcW w:type="dxa" w:w="1440"/>
          </w:tcPr>
          <w:p>
            <w:r>
              <w:t>配置中发现相关证据，需结合判定标准人工/AI复核是否完全满足。</w:t>
              <w:br/>
              <w:t>AI 判定失败：RuntimeError('AI 配置不完整：需要 ai_base_url、ai_api_key、ai_model')</w:t>
            </w:r>
          </w:p>
        </w:tc>
        <w:tc>
          <w:tcPr>
            <w:tcW w:type="dxa" w:w="1440"/>
          </w:tcPr>
          <w:p>
            <w:r>
              <w:t>对照基线判定标准逐项确认当前值、范围、例外和留存记录。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