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i/>
          <w:iCs/>
        </w:rPr>
        <w:t xml:space="preserve">Itagüí, Antioquia — 20 de junio de 2026</w:t>
      </w:r>
    </w:p>
    <w:p>
      <w:pPr>
        <w:spacing w:after="60"/>
      </w:pPr>
      <w:r>
        <w:rPr>
          <w:b/>
          <w:bCs/>
        </w:rPr>
        <w:t xml:space="preserve">Señores:</w:t>
      </w:r>
    </w:p>
    <w:p>
      <w:pPr>
        <w:spacing w:after="160" w:line="300"/>
        <w:jc w:val="left"/>
      </w:pPr>
      <w:r>
        <w:rPr>
          <w:b w:val="false"/>
          <w:bCs w:val="false"/>
          <w:i w:val="false"/>
          <w:iCs w:val="false"/>
        </w:rPr>
        <w:t xml:space="preserve">Comité Directivo del Centro del Diseño y Manufactura del Cuero (CDMC) — SENA</w:t>
      </w:r>
    </w:p>
    <w:p>
      <w:pPr>
        <w:spacing w:after="160" w:line="300"/>
        <w:jc w:val="left"/>
      </w:pPr>
      <w:r>
        <w:rPr>
          <w:b w:val="false"/>
          <w:bCs w:val="false"/>
          <w:i w:val="false"/>
          <w:iCs w:val="false"/>
        </w:rPr>
        <w:t xml:space="preserve">Dyron Javier Ramírez Osorio (Subdirector de Centro), Leidy Johana Ruiz Cortés (Coordinadora Académica), Paul Ernesto Tamayo Caviedes (Coordinador Académico Medular) y Luis Eladio Porras Camargo (Instructor líder técnico)</w:t>
      </w:r>
    </w:p>
    <w:p>
      <w:pPr>
        <w:spacing w:after="160" w:line="300"/>
        <w:jc w:val="both"/>
      </w:pPr>
      <w:r>
        <w:rPr>
          <w:b/>
          <w:bCs/>
          <w:i w:val="false"/>
          <w:iCs w:val="false"/>
        </w:rPr>
        <w:t xml:space="preserve">Asunto: Propuesta Técnica del Sistema de Información CONINS — Control de Asignación Académica y Operativa de Instructores, con anexo de aprobación de Requisitos Funcionales v6.1.</w:t>
      </w:r>
    </w:p>
    <w:p>
      <w:pPr>
        <w:spacing w:after="160" w:line="300"/>
        <w:jc w:val="both"/>
      </w:pPr>
      <w:r>
        <w:rPr>
          <w:b w:val="false"/>
          <w:bCs w:val="false"/>
          <w:i w:val="false"/>
          <w:iCs w:val="false"/>
        </w:rPr>
        <w:t xml:space="preserve">Respetados directivos:</w:t>
      </w:r>
    </w:p>
    <w:p>
      <w:pPr>
        <w:spacing w:after="160" w:line="300"/>
        <w:jc w:val="both"/>
      </w:pPr>
      <w:r>
        <w:rPr>
          <w:b w:val="false"/>
          <w:bCs w:val="false"/>
          <w:i w:val="false"/>
          <w:iCs w:val="false"/>
        </w:rPr>
        <w:t xml:space="preserve">Reciban un cordial saludo de parte del equipo de desarrollo del proyecto CONINS. Nos complace presentar esta Propuesta Técnica correspondiente al sistema de información que viene siendo construido para el Centro del Diseño y Manufactura del Cuero (CDMC), en el marco de la etapa productiva de los aprendices del programa Análisis y Desarrollo de Software.</w:t>
      </w:r>
    </w:p>
    <w:p>
      <w:pPr>
        <w:spacing w:after="160" w:line="300"/>
        <w:jc w:val="both"/>
      </w:pPr>
      <w:r>
        <w:rPr>
          <w:b w:val="false"/>
          <w:bCs w:val="false"/>
          <w:i w:val="false"/>
          <w:iCs w:val="false"/>
        </w:rPr>
        <w:t xml:space="preserve">CONINS es un sistema de control de malla de horarios cuyo propósito es responder, de forma confiable y trazable, a la pregunta operativa central del CDMC: qué instructor cubre qué competencia, en qué ficha, en qué ambiente y en qué jornada. El sistema no reemplaza a Sofía Plus ni gestiona notas, programas curriculares o infraestructura; su función es controlar la asignación académica y operativa del cuerpo de instructores, evitando duplicidades, alertando sobrecargas de horas y dejando trazabilidad de cada cambio.</w:t>
      </w:r>
    </w:p>
    <w:p>
      <w:pPr>
        <w:spacing w:after="160" w:line="300"/>
        <w:jc w:val="both"/>
      </w:pPr>
      <w:r>
        <w:rPr>
          <w:b w:val="false"/>
          <w:bCs w:val="false"/>
          <w:i w:val="false"/>
          <w:iCs w:val="false"/>
        </w:rPr>
        <w:t xml:space="preserve">El presente documento describe el alcance funcional y técnico del sistema, el equipo responsable, la arquitectura sobre la que se construye y el estado actual de avance. Se incluyen además dos anexos: un Acta de Compromiso Institucional entre el equipo de desarrollo y el CDMC, y la tabla completa de los 47 Requisitos Funcionales (RF v6.1) para su revisión y aprobación formal por parte del comité directivo.</w:t>
      </w:r>
    </w:p>
    <w:p>
      <w:pPr>
        <w:spacing w:after="160" w:line="300"/>
        <w:jc w:val="both"/>
      </w:pPr>
      <w:r>
        <w:rPr>
          <w:b w:val="false"/>
          <w:bCs w:val="false"/>
          <w:i w:val="false"/>
          <w:iCs w:val="false"/>
        </w:rPr>
        <w:t xml:space="preserve">Quedamos atentos a sus observaciones y a la firma de aprobación correspondiente para continuar con la siguiente fase del proyecto.</w:t>
      </w:r>
    </w:p>
    <w:p>
      <w:pPr>
        <w:spacing w:after="160" w:line="300"/>
        <w:jc w:val="both"/>
      </w:pPr>
      <w:r>
        <w:rPr>
          <w:b w:val="false"/>
          <w:bCs w:val="false"/>
          <w:i w:val="false"/>
          <w:iCs w:val="false"/>
        </w:rPr>
        <w:t xml:space="preserve">Cordialmente,</w:t>
      </w:r>
    </w:p>
    <w:p>
      <w:pPr>
        <w:spacing w:after="160" w:line="300"/>
        <w:jc w:val="both"/>
      </w:pPr>
      <w:r>
        <w:rPr>
          <w:b/>
          <w:bCs/>
          <w:i w:val="false"/>
          <w:iCs w:val="false"/>
        </w:rPr>
        <w:t xml:space="preserve">Equipo de Desarrollo del Proyecto CONINS — Jair Enrique González Buelvas · Laura Sofía Posada</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Presentación del proyecto</w:t>
      </w:r>
    </w:p>
    <w:p>
      <w:pPr>
        <w:pBdr>
          <w:bottom w:val="single" w:color="39A900" w:sz="12" w:space="4"/>
        </w:pBdr>
        <w:spacing w:after="200"/>
      </w:pPr>
    </w:p>
    <w:p>
      <w:pPr>
        <w:spacing w:after="160" w:line="300"/>
        <w:jc w:val="both"/>
      </w:pPr>
      <w:r>
        <w:rPr>
          <w:b w:val="false"/>
          <w:bCs w:val="false"/>
          <w:i w:val="false"/>
          <w:iCs w:val="false"/>
        </w:rPr>
        <w:t xml:space="preserve">La presente propuesta tiene como propósito formalizar el alcance, la arquitectura y los requisitos funcionales del sistema CONINS, desarrollado para el Centro del Diseño y Manufactura del Cuero (CDMC) del SENA, como proyecto de etapa productiva de los aprendices Jair Enrique González Buelvas y Laura Sofía Posada, bajo la supervisión técnica del instructor líder Luis Eladio Porras Camargo.</w:t>
      </w:r>
    </w:p>
    <w:p>
      <w:pPr>
        <w:spacing w:after="160" w:line="300"/>
        <w:jc w:val="both"/>
      </w:pPr>
      <w:r>
        <w:rPr>
          <w:b w:val="false"/>
          <w:bCs w:val="false"/>
          <w:i w:val="false"/>
          <w:iCs w:val="false"/>
        </w:rPr>
        <w:t xml:space="preserve">El sistema gestiona, controla y optimiza la asignación académica y operativa de los instructores del CDMC mediante la administración estructurada de competencias, resultados de aprendizaje (RAPs), ambientes de formación, fichas y horarios. Garantiza el cumplimiento de la carga horaria reglamentaria, previene inconsistencias como la duplicidad de asignaciones por ficha y gestiona situaciones operativas como novedades administrativas de instructores y bloqueos temporales de ambientes.</w:t>
      </w:r>
    </w:p>
    <w:p>
      <w:pPr>
        <w:spacing w:after="160" w:line="300"/>
        <w:jc w:val="both"/>
      </w:pPr>
      <w:r>
        <w:rPr>
          <w:b w:val="false"/>
          <w:bCs w:val="false"/>
          <w:i w:val="false"/>
          <w:iCs w:val="false"/>
        </w:rPr>
        <w:t xml:space="preserve">La solución incorpora un modelo de control de acceso basado en roles jerárquicos (Subdirector, Coordinadores de Línea Medular y Transversal, Líderes de Programa e Instructores), con soporte para múltiples roles simultáneos por usuario, y funcionalidades de consulta, filtrado, alertas automáticas, notificaciones internas y por correo electrónico, y generación de reportes exportables en PDF para la toma de decisiones de los directivos del centro.</w:t>
      </w:r>
    </w:p>
    <w:p>
      <w:pPr>
        <w:pStyle w:val="Heading1"/>
      </w:pPr>
      <w:r>
        <w:t xml:space="preserve">2. Justificación del proyecto</w:t>
      </w:r>
    </w:p>
    <w:p>
      <w:pPr>
        <w:pBdr>
          <w:bottom w:val="single" w:color="39A900" w:sz="12" w:space="4"/>
        </w:pBdr>
        <w:spacing w:after="200"/>
      </w:pPr>
    </w:p>
    <w:p>
      <w:pPr>
        <w:spacing w:after="160" w:line="300"/>
        <w:jc w:val="both"/>
      </w:pPr>
      <w:r>
        <w:rPr>
          <w:b w:val="false"/>
          <w:bCs w:val="false"/>
          <w:i w:val="false"/>
          <w:iCs w:val="false"/>
        </w:rPr>
        <w:t xml:space="preserve">La asignación de instructores a fichas, competencias, ambientes y horarios es hoy un proceso manual y disperso, expuesto a errores como la doble asignación de un mismo resultado de aprendizaje, el desconocimiento de novedades administrativas vigentes o la programación de horarios en ambientes ya ocupados. CONINS centraliza esta información en una única fuente de verdad y aplica de forma automática las reglas de negocio que hoy dependen de la memoria o el criterio individual de cada coordinador.</w:t>
      </w:r>
    </w:p>
    <w:p>
      <w:pPr>
        <w:pStyle w:val="ListParagraph"/>
        <w:numPr>
          <w:ilvl w:val="0"/>
          <w:numId w:val="2"/>
        </w:numPr>
        <w:spacing w:after="100" w:line="290"/>
      </w:pPr>
      <w:r>
        <w:rPr>
          <w:b/>
          <w:bCs/>
        </w:rPr>
        <w:t xml:space="preserve">Cumplimiento normativo: </w:t>
      </w:r>
      <w:r>
        <w:t xml:space="preserve">valida automáticamente que cada instructor permanezca dentro del rango reglamentario de 20 a 40 horas semanales, alertando los casos fuera de rango.</w:t>
      </w:r>
    </w:p>
    <w:p>
      <w:pPr>
        <w:pStyle w:val="ListParagraph"/>
        <w:numPr>
          <w:ilvl w:val="0"/>
          <w:numId w:val="2"/>
        </w:numPr>
        <w:spacing w:after="100" w:line="290"/>
      </w:pPr>
      <w:r>
        <w:rPr>
          <w:b/>
          <w:bCs/>
        </w:rPr>
        <w:t xml:space="preserve">Trazabilidad: </w:t>
      </w:r>
      <w:r>
        <w:t xml:space="preserve">todo cambio de instructor en una competencia activa queda registrado, así como el histórico de asignaciones, novedades y bloqueos de ambientes.</w:t>
      </w:r>
    </w:p>
    <w:p>
      <w:pPr>
        <w:pStyle w:val="ListParagraph"/>
        <w:numPr>
          <w:ilvl w:val="0"/>
          <w:numId w:val="2"/>
        </w:numPr>
        <w:spacing w:after="100" w:line="290"/>
      </w:pPr>
      <w:r>
        <w:rPr>
          <w:b/>
          <w:bCs/>
        </w:rPr>
        <w:t xml:space="preserve">Prevención de conflictos: </w:t>
      </w:r>
      <w:r>
        <w:t xml:space="preserve">bloquea de forma automática la superposición de horarios de un mismo instructor y la duplicidad de RAPs dentro de una misma ficha.</w:t>
      </w:r>
    </w:p>
    <w:p>
      <w:pPr>
        <w:pStyle w:val="ListParagraph"/>
        <w:numPr>
          <w:ilvl w:val="0"/>
          <w:numId w:val="2"/>
        </w:numPr>
        <w:spacing w:after="100" w:line="290"/>
      </w:pPr>
      <w:r>
        <w:rPr>
          <w:b/>
          <w:bCs/>
        </w:rPr>
        <w:t xml:space="preserve">Gobernanza por roles: </w:t>
      </w:r>
      <w:r>
        <w:t xml:space="preserve">cada coordinador, líder de programa e instructor accede únicamente a la información y las acciones correspondientes a su nivel de jerarquía y a su línea o programa.</w:t>
      </w:r>
    </w:p>
    <w:p>
      <w:pPr>
        <w:pStyle w:val="ListParagraph"/>
        <w:numPr>
          <w:ilvl w:val="0"/>
          <w:numId w:val="2"/>
        </w:numPr>
        <w:spacing w:after="100" w:line="290"/>
      </w:pPr>
      <w:r>
        <w:rPr>
          <w:b/>
          <w:bCs/>
        </w:rPr>
        <w:t xml:space="preserve">Comunicación oportuna: </w:t>
      </w:r>
      <w:r>
        <w:t xml:space="preserve">notifica de forma automática a instructores, líderes y directivos sobre los cambios y alertas que les corresponden, por canal interno y, en el caso del instructor, también por correo electrónico.</w:t>
      </w:r>
    </w:p>
    <w:p>
      <w:pPr>
        <w:pStyle w:val="Heading1"/>
      </w:pPr>
      <w:r>
        <w:t xml:space="preserve">3. Alcance funcional del sistema</w:t>
      </w:r>
    </w:p>
    <w:p>
      <w:pPr>
        <w:pBdr>
          <w:bottom w:val="single" w:color="39A900" w:sz="12" w:space="4"/>
        </w:pBdr>
        <w:spacing w:after="200"/>
      </w:pPr>
    </w:p>
    <w:p>
      <w:pPr>
        <w:spacing w:after="160" w:line="300"/>
        <w:jc w:val="both"/>
      </w:pPr>
      <w:r>
        <w:rPr>
          <w:b w:val="false"/>
          <w:bCs w:val="false"/>
          <w:i w:val="false"/>
          <w:iCs w:val="false"/>
        </w:rPr>
        <w:t xml:space="preserve">El alcance funcional se organiza en 8 módulos que agrupan los 47 Requisitos Funcionales de la versión vigente (RF v6.1). La tabla completa de requisitos, con espacio para aprobación formal, se incluye en el Anexo No. 2 de este documento.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080"/>
        <w:gridCol w:w="5800"/>
      </w:tblGrid>
      <w:tr>
        <w:trPr>
          <w:tblHeader/>
        </w:trPr>
        <w:tc>
          <w:tcPr>
            <w:tcW w:type="dxa" w:w="32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Módulo</w:t>
            </w:r>
          </w:p>
        </w:tc>
        <w:tc>
          <w:tcPr>
            <w:tcW w:type="dxa" w:w="108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8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Qué resuelve</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AUTH</w:t>
            </w:r>
          </w:p>
        </w:tc>
        <w:tc>
          <w:tcPr>
            <w:tcW w:type="dxa" w:w="10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13 RF</w:t>
            </w:r>
          </w:p>
        </w:tc>
        <w:tc>
          <w:tcPr>
            <w:tcW w:type="dxa" w:w="58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Registro en dos pasos, inicio de sesión, recuperación de contraseña y gestión de cuentas para administradores, líderes e instructores.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Instructores</w:t>
            </w:r>
          </w:p>
        </w:tc>
        <w:tc>
          <w:tcPr>
            <w:tcW w:type="dxa" w:w="10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3 RF</w:t>
            </w:r>
          </w:p>
        </w:tc>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Datos de contrato, competencias habilitadas y novedades administrativas (licencias, incapacidades, comisiones).</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Fichas</w:t>
            </w:r>
          </w:p>
        </w:tc>
        <w:tc>
          <w:tcPr>
            <w:tcW w:type="dxa" w:w="10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4 RF</w:t>
            </w:r>
          </w:p>
        </w:tc>
        <w:tc>
          <w:tcPr>
            <w:tcW w:type="dxa" w:w="58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Registro, edición, deshabilitación y consulta de fichas de formación (etapa lectiva o productiva).</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Horarios</w:t>
            </w:r>
          </w:p>
        </w:tc>
        <w:tc>
          <w:tcPr>
            <w:tcW w:type="dxa" w:w="10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4 RF</w:t>
            </w:r>
          </w:p>
        </w:tc>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Registro, edición, deshabilitación y visualización de la malla semanal de horarios.</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Asignaciones</w:t>
            </w:r>
          </w:p>
        </w:tc>
        <w:tc>
          <w:tcPr>
            <w:tcW w:type="dxa" w:w="10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6 RF</w:t>
            </w:r>
          </w:p>
        </w:tc>
        <w:tc>
          <w:tcPr>
            <w:tcW w:type="dxa" w:w="58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Asignación de líderes, programas, competencias, ambientes y asignaciones provisionales.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Ambientes</w:t>
            </w:r>
          </w:p>
        </w:tc>
        <w:tc>
          <w:tcPr>
            <w:tcW w:type="dxa" w:w="10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1 RF</w:t>
            </w:r>
          </w:p>
        </w:tc>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Bloqueo temporal de aulas y talleres con reincorporación automática al vencer.</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Alertas, Validaciones y Notificaciones</w:t>
            </w:r>
          </w:p>
        </w:tc>
        <w:tc>
          <w:tcPr>
            <w:tcW w:type="dxa" w:w="10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9 RF</w:t>
            </w:r>
          </w:p>
        </w:tc>
        <w:tc>
          <w:tcPr>
            <w:tcW w:type="dxa" w:w="58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Validaciones automáticas (carga horaria, jornada, ambiente, RAP único) y notificaciones internas y por correo.</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Consulta y Visualización</w:t>
            </w:r>
          </w:p>
        </w:tc>
        <w:tc>
          <w:tcPr>
            <w:tcW w:type="dxa" w:w="10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5 RF</w:t>
            </w:r>
          </w:p>
        </w:tc>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Consultas, filtros, paneles de carga horaria y exportación de la malla de horarios en PDF.</w:t>
            </w:r>
          </w:p>
        </w:tc>
      </w:tr>
    </w:tbl>
    <w:p>
      <w:pPr>
        <w:spacing w:after="120" w:before="300"/>
      </w:pPr>
    </w:p>
    <w:p>
      <w:pPr>
        <w:pStyle w:val="Heading2"/>
      </w:pPr>
      <w:r>
        <w:t xml:space="preserve">3.1 Lo que CONINS no gestiona</w:t>
      </w:r>
    </w:p>
    <w:p>
      <w:pPr>
        <w:spacing w:after="160" w:line="300"/>
        <w:jc w:val="both"/>
      </w:pPr>
      <w:r>
        <w:rPr>
          <w:b w:val="false"/>
          <w:bCs w:val="false"/>
          <w:i w:val="false"/>
          <w:iCs w:val="false"/>
        </w:rPr>
        <w:t xml:space="preserve">Para evitar expectativas fuera de alcance, es necesario precisar qué información permanece bajo otras plataformas o procesos institucionales y no será objeto de CRUD dentro de CONINS:</w:t>
      </w:r>
    </w:p>
    <w:p>
      <w:pPr>
        <w:pStyle w:val="ListParagraph"/>
        <w:numPr>
          <w:ilvl w:val="0"/>
          <w:numId w:val="2"/>
        </w:numPr>
        <w:spacing w:after="100" w:line="290"/>
      </w:pPr>
      <w:r>
        <w:rPr>
          <w:b/>
          <w:bCs/>
        </w:rPr>
        <w:t xml:space="preserve">Notas y juicios evaluativos: </w:t>
      </w:r>
      <w:r>
        <w:t xml:space="preserve">se gestionan exclusivamente en Sofía Plus.</w:t>
      </w:r>
    </w:p>
    <w:p>
      <w:pPr>
        <w:pStyle w:val="ListParagraph"/>
        <w:numPr>
          <w:ilvl w:val="0"/>
          <w:numId w:val="2"/>
        </w:numPr>
        <w:spacing w:after="100" w:line="290"/>
      </w:pPr>
      <w:r>
        <w:rPr>
          <w:b/>
          <w:bCs/>
        </w:rPr>
        <w:t xml:space="preserve">Programas de formación, competencias y RAPs: </w:t>
      </w:r>
      <w:r>
        <w:t xml:space="preserve">son datos normativos institucionales del SENA — se cargan como catálogo (seed), sin edición desde la interfaz.</w:t>
      </w:r>
    </w:p>
    <w:p>
      <w:pPr>
        <w:pStyle w:val="ListParagraph"/>
        <w:numPr>
          <w:ilvl w:val="0"/>
          <w:numId w:val="2"/>
        </w:numPr>
        <w:spacing w:after="100" w:line="290"/>
      </w:pPr>
      <w:r>
        <w:rPr>
          <w:b/>
          <w:bCs/>
        </w:rPr>
        <w:t xml:space="preserve">Ambientes y jornadas como infraestructura: </w:t>
      </w:r>
      <w:r>
        <w:t xml:space="preserve">son datos fijos del CDMC (aulas 200–208, talleres T1–T4; jornadas mañana, mixta, noche y virtual).</w:t>
      </w:r>
    </w:p>
    <w:p>
      <w:pPr>
        <w:pStyle w:val="ListParagraph"/>
        <w:numPr>
          <w:ilvl w:val="0"/>
          <w:numId w:val="2"/>
        </w:numPr>
        <w:spacing w:after="100" w:line="290"/>
      </w:pPr>
      <w:r>
        <w:rPr>
          <w:b/>
          <w:bCs/>
        </w:rPr>
        <w:t xml:space="preserve">Estado oficial del curso (en ejecución, terminada): </w:t>
      </w:r>
      <w:r>
        <w:t xml:space="preserve">es información de Sofía Plus; CONINS solo refleja la etapa (lectiva/productiva) para fines de asignación.</w:t>
      </w:r>
    </w:p>
    <w:p>
      <w:pPr>
        <w:pStyle w:val="Heading1"/>
      </w:pPr>
      <w:r>
        <w:t xml:space="preserve">4. Modelo de roles y control de acceso</w:t>
      </w:r>
    </w:p>
    <w:p>
      <w:pPr>
        <w:pBdr>
          <w:bottom w:val="single" w:color="39A900" w:sz="12" w:space="4"/>
        </w:pBdr>
        <w:spacing w:after="200"/>
      </w:pPr>
    </w:p>
    <w:p>
      <w:pPr>
        <w:spacing w:after="160" w:line="300"/>
        <w:jc w:val="both"/>
      </w:pPr>
      <w:r>
        <w:rPr>
          <w:b w:val="false"/>
          <w:bCs w:val="false"/>
          <w:i w:val="false"/>
          <w:iCs w:val="false"/>
        </w:rPr>
        <w:t xml:space="preserve">El sistema implementa control de acceso basado en 5 roles jerárquicos exactos, con soporte para múltiples roles simultáneos por usuario mediante una tabla de relación N:M. Cada coordinador actúa únicamente dentro de su línea (medular o transversal), y cada líder de programa, únicamente dentro de los programas que tiene a su cargo.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5280"/>
      </w:tblGrid>
      <w:tr>
        <w:trPr>
          <w:tblHeader/>
        </w:trPr>
        <w:tc>
          <w:tcPr>
            <w:tcW w:type="dxa" w:w="9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7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Rol</w:t>
            </w:r>
          </w:p>
        </w:tc>
        <w:tc>
          <w:tcPr>
            <w:tcW w:type="dxa" w:w="12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Nivel</w:t>
            </w:r>
          </w:p>
        </w:tc>
        <w:tc>
          <w:tcPr>
            <w:tcW w:type="dxa" w:w="528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Alcance</w:t>
            </w:r>
          </w:p>
        </w:tc>
      </w:tr>
      <w:tr>
        <w:tc>
          <w:tcPr>
            <w:tcW w:type="dxa" w:w="9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1</w:t>
            </w:r>
          </w:p>
        </w:tc>
        <w:tc>
          <w:tcPr>
            <w:tcW w:type="dxa" w:w="27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Subdirector</w:t>
            </w:r>
          </w:p>
        </w:tc>
        <w:tc>
          <w:tcPr>
            <w:tcW w:type="dxa" w:w="1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1</w:t>
            </w:r>
          </w:p>
        </w:tc>
        <w:tc>
          <w:tcPr>
            <w:tcW w:type="dxa" w:w="52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CDMC completo — administrador principal</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2</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Coordinador Medular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2</w:t>
            </w:r>
          </w:p>
        </w:tc>
        <w:tc>
          <w:tcPr>
            <w:tcW w:type="dxa" w:w="5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Línea medular (calzado, marroquinería, curtición)</w:t>
            </w:r>
          </w:p>
        </w:tc>
      </w:tr>
      <w:tr>
        <w:tc>
          <w:tcPr>
            <w:tcW w:type="dxa" w:w="9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3</w:t>
            </w:r>
          </w:p>
        </w:tc>
        <w:tc>
          <w:tcPr>
            <w:tcW w:type="dxa" w:w="27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Coordinador Transversal</w:t>
            </w:r>
          </w:p>
        </w:tc>
        <w:tc>
          <w:tcPr>
            <w:tcW w:type="dxa" w:w="1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2</w:t>
            </w:r>
          </w:p>
        </w:tc>
        <w:tc>
          <w:tcPr>
            <w:tcW w:type="dxa" w:w="52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Línea transversal (ADSO, bilingüismo, diseño, gestión)</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4</w:t>
            </w:r>
          </w:p>
        </w:tc>
        <w:tc>
          <w:tcPr>
            <w:tcW w:type="dxa" w:w="2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Líder de Programa</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rPr>
              <w:t xml:space="preserve">3</w:t>
            </w:r>
          </w:p>
        </w:tc>
        <w:tc>
          <w:tcPr>
            <w:tcW w:type="dxa" w:w="52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Su(s) programa(s) a cargo</w:t>
            </w:r>
          </w:p>
        </w:tc>
      </w:tr>
      <w:tr>
        <w:tc>
          <w:tcPr>
            <w:tcW w:type="dxa" w:w="9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5</w:t>
            </w:r>
          </w:p>
        </w:tc>
        <w:tc>
          <w:tcPr>
            <w:tcW w:type="dxa" w:w="27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Instructor</w:t>
            </w:r>
          </w:p>
        </w:tc>
        <w:tc>
          <w:tcPr>
            <w:tcW w:type="dxa" w:w="1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rPr>
              <w:t xml:space="preserve">4</w:t>
            </w:r>
          </w:p>
        </w:tc>
        <w:tc>
          <w:tcPr>
            <w:tcW w:type="dxa" w:w="52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Sus asignaciones — solo lectura</w:t>
            </w:r>
          </w:p>
        </w:tc>
      </w:tr>
    </w:tbl>
    <w:p>
      <w:pPr>
        <w:spacing w:after="0" w:before="200"/>
      </w:pPr>
    </w:p>
    <w:p>
      <w:pPr>
        <w:spacing w:after="160" w:line="300"/>
        <w:jc w:val="both"/>
      </w:pPr>
      <w:r>
        <w:rPr>
          <w:b w:val="false"/>
          <w:bCs w:val="false"/>
          <w:i/>
          <w:iCs/>
        </w:rPr>
        <w:t xml:space="preserve">El campo “líder de ficha” no es un rol del sistema: es un indicador (es_lider_ficha) dentro de cada asignación, y no otorga permisos adicionales sobre el sistema.</w:t>
      </w:r>
    </w:p>
    <w:p>
      <w:pPr>
        <w:pStyle w:val="Heading1"/>
      </w:pPr>
      <w:r>
        <w:t xml:space="preserve">5. Arquitectura tecnológica</w:t>
      </w:r>
    </w:p>
    <w:p>
      <w:pPr>
        <w:pBdr>
          <w:bottom w:val="single" w:color="39A900" w:sz="12" w:space="4"/>
        </w:pBdr>
        <w:spacing w:after="200"/>
      </w:pPr>
    </w:p>
    <w:p>
      <w:pPr>
        <w:pStyle w:val="Heading2"/>
      </w:pPr>
      <w:r>
        <w:t xml:space="preserve">5.1 Stack tecnológico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Capa</w:t>
            </w:r>
          </w:p>
        </w:tc>
        <w:tc>
          <w:tcPr>
            <w:tcW w:type="dxa" w:w="72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Tecnología</w:t>
            </w:r>
          </w:p>
        </w:tc>
      </w:tr>
      <w:tr>
        <w:tc>
          <w:tcPr>
            <w:tcW w:type="dxa" w:w="2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Frontend</w:t>
            </w:r>
          </w:p>
        </w:tc>
        <w:tc>
          <w:tcPr>
            <w:tcW w:type="dxa" w:w="7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Next.js 15 (Pages Router) · React 19 · TypeScript · Tailwind CSS 4 · Lucide React</w:t>
            </w:r>
          </w:p>
        </w:tc>
      </w:tr>
      <w:tr>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Cliente HTTP</w:t>
            </w:r>
          </w:p>
        </w:tc>
        <w:tc>
          <w:tcPr>
            <w:tcW w:type="dxa" w:w="7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Fetch nativo (sin Axios)</w:t>
            </w:r>
          </w:p>
        </w:tc>
      </w:tr>
      <w:tr>
        <w:tc>
          <w:tcPr>
            <w:tcW w:type="dxa" w:w="2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Backend</w:t>
            </w:r>
          </w:p>
        </w:tc>
        <w:tc>
          <w:tcPr>
            <w:tcW w:type="dxa" w:w="7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Node.js · Express 5 · TypeScript · Arquitectura MVC · módulos ESM6</w:t>
            </w:r>
          </w:p>
        </w:tc>
      </w:tr>
      <w:tr>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Autenticación</w:t>
            </w:r>
          </w:p>
        </w:tc>
        <w:tc>
          <w:tcPr>
            <w:tcW w:type="dxa" w:w="7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JWT + bcrypt</w:t>
            </w:r>
          </w:p>
        </w:tc>
      </w:tr>
      <w:tr>
        <w:tc>
          <w:tcPr>
            <w:tcW w:type="dxa" w:w="2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Correo electrónico</w:t>
            </w:r>
          </w:p>
        </w:tc>
        <w:tc>
          <w:tcPr>
            <w:tcW w:type="dxa" w:w="7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Nodemailer (notificaciones RF-38)</w:t>
            </w:r>
          </w:p>
        </w:tc>
      </w:tr>
      <w:tr>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Base de datos</w:t>
            </w:r>
          </w:p>
        </w:tc>
        <w:tc>
          <w:tcPr>
            <w:tcW w:type="dxa" w:w="7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MySQL — base de datos “conIns”, 27 tablas (schema v5.2)</w:t>
            </w:r>
          </w:p>
        </w:tc>
      </w:tr>
      <w:tr>
        <w:tc>
          <w:tcPr>
            <w:tcW w:type="dxa" w:w="2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Administración de BD</w:t>
            </w:r>
          </w:p>
        </w:tc>
        <w:tc>
          <w:tcPr>
            <w:tcW w:type="dxa" w:w="7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phpMyAdmin · Laragon</w:t>
            </w:r>
          </w:p>
        </w:tc>
      </w:tr>
      <w:tr>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Control de versiones</w:t>
            </w:r>
          </w:p>
        </w:tc>
        <w:tc>
          <w:tcPr>
            <w:tcW w:type="dxa" w:w="7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Git + GitHub</w:t>
            </w:r>
          </w:p>
        </w:tc>
      </w:tr>
      <w:tr>
        <w:tc>
          <w:tcPr>
            <w:tcW w:type="dxa" w:w="2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Entorno de desarrollo</w:t>
            </w:r>
          </w:p>
        </w:tc>
        <w:tc>
          <w:tcPr>
            <w:tcW w:type="dxa" w:w="7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Visual Studio Code</w:t>
            </w:r>
          </w:p>
        </w:tc>
      </w:tr>
    </w:tbl>
    <w:p>
      <w:pPr>
        <w:spacing w:after="120" w:before="300"/>
      </w:pPr>
    </w:p>
    <w:p>
      <w:pPr>
        <w:pStyle w:val="Heading2"/>
      </w:pPr>
      <w:r>
        <w:t xml:space="preserve">5.2 Descripción de la arquitectura</w:t>
      </w:r>
    </w:p>
    <w:p>
      <w:pPr>
        <w:spacing w:after="160" w:line="300"/>
        <w:jc w:val="both"/>
      </w:pPr>
      <w:r>
        <w:rPr>
          <w:b w:val="false"/>
          <w:bCs w:val="false"/>
          <w:i w:val="false"/>
          <w:iCs w:val="false"/>
        </w:rPr>
        <w:t xml:space="preserve">CONINS se implementa mediante una arquitectura web cliente-servidor de tres capas:</w:t>
      </w:r>
    </w:p>
    <w:p>
      <w:pPr>
        <w:pStyle w:val="ListParagraph"/>
        <w:numPr>
          <w:ilvl w:val="0"/>
          <w:numId w:val="2"/>
        </w:numPr>
        <w:spacing w:after="100" w:line="290"/>
      </w:pPr>
      <w:r>
        <w:rPr>
          <w:b/>
          <w:bCs/>
        </w:rPr>
        <w:t xml:space="preserve">Capa de presentación: </w:t>
      </w:r>
      <w:r>
        <w:t xml:space="preserve">frontend en Next.js 15 (Pages Router), React 19, TypeScript y Tailwind CSS 4, que consume la API mediante Fetch nativo.</w:t>
      </w:r>
    </w:p>
    <w:p>
      <w:pPr>
        <w:pStyle w:val="ListParagraph"/>
        <w:numPr>
          <w:ilvl w:val="0"/>
          <w:numId w:val="2"/>
        </w:numPr>
        <w:spacing w:after="100" w:line="290"/>
      </w:pPr>
      <w:r>
        <w:rPr>
          <w:b/>
          <w:bCs/>
        </w:rPr>
        <w:t xml:space="preserve">Capa lógica: </w:t>
      </w:r>
      <w:r>
        <w:t xml:space="preserve">API REST construida en Node.js y Express 5 con TypeScript, bajo arquitectura MVC con módulos ESM6. Los controladores manejan exclusivamente la capa HTTP; toda la lógica de negocio y las validaciones de las reglas de negocio (RN) residen en la capa de servicios; los modelos solo ejecutan consultas a la base de datos.</w:t>
      </w:r>
    </w:p>
    <w:p>
      <w:pPr>
        <w:pStyle w:val="ListParagraph"/>
        <w:numPr>
          <w:ilvl w:val="0"/>
          <w:numId w:val="2"/>
        </w:numPr>
        <w:spacing w:after="100" w:line="290"/>
      </w:pPr>
      <w:r>
        <w:rPr>
          <w:b/>
          <w:bCs/>
        </w:rPr>
        <w:t xml:space="preserve">Capa de datos: </w:t>
      </w:r>
      <w:r>
        <w:t xml:space="preserve">base de datos relacional MySQL (“conIns”, 21 tablas), administrada desde phpMyAdmin sobre entorno local Laragon, con eliminación lógica universal (activo = TRUE/FALSE) y trazabilidad por auditoría.</w:t>
      </w:r>
    </w:p>
    <w:p>
      <w:pPr>
        <w:spacing w:after="160" w:line="300"/>
        <w:jc w:val="both"/>
      </w:pPr>
      <w:r>
        <w:rPr>
          <w:b w:val="false"/>
          <w:bCs w:val="false"/>
          <w:i w:val="false"/>
          <w:iCs w:val="false"/>
        </w:rPr>
        <w:t xml:space="preserve">La autenticación se gestiona con JWT enviado en el encabezado Authorization, validado en dos capas: una capa de autorización por rol global (requireRole) y una capa de autorización contextual (permisoService) que valida el alcance de cada usuario sobre programas, líneas o instructores específicos. Las notificaciones por correo electrónico se envían mediante Nodemailer, de forma condicional según la configuración SMTP del entorno.</w:t>
      </w:r>
    </w:p>
    <w:p>
      <w:pPr>
        <w:pStyle w:val="Heading1"/>
      </w:pPr>
      <w:r>
        <w:t xml:space="preserve">6. Modelo de datos (resumen)</w:t>
      </w:r>
    </w:p>
    <w:p>
      <w:pPr>
        <w:pBdr>
          <w:bottom w:val="single" w:color="39A900" w:sz="12" w:space="4"/>
        </w:pBdr>
        <w:spacing w:after="200"/>
      </w:pPr>
    </w:p>
    <w:p>
      <w:pPr>
        <w:spacing w:after="160" w:line="300"/>
        <w:jc w:val="both"/>
      </w:pPr>
      <w:r>
        <w:rPr>
          <w:b w:val="false"/>
          <w:bCs w:val="false"/>
          <w:i w:val="false"/>
          <w:iCs w:val="false"/>
        </w:rPr>
        <w:t xml:space="preserve">El modelo de datos está organizado en torno a una cadena de integridad central: instructor → asignación → competencia → RAPs heredados automáticamente. La tabla siguiente resume los grupos de tablas más relevantes del schema vigente (v5, 21 tablas):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Tabla / grupo</w:t>
            </w:r>
          </w:p>
        </w:tc>
        <w:tc>
          <w:tcPr>
            <w:tcW w:type="dxa" w:w="688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Propósito</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roles</w:t>
            </w:r>
          </w:p>
        </w:tc>
        <w:tc>
          <w:tcPr>
            <w:tcW w:type="dxa" w:w="6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5 entradas exactas: Subdirector, Coordinador Medular, Coordinador Transversal, Líder de Programa, Instructor</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usuarios / usuario_roles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Autenticación centralizada y soporte multi-rol (N:M)</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instructores</w:t>
            </w:r>
          </w:p>
        </w:tc>
        <w:tc>
          <w:tcPr>
            <w:tcW w:type="dxa" w:w="6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Tipo de contrato y tipo de área, vinculados a la cuenta de usuario</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instructor_competencias_habilitadas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Competencias que cada instructor puede asumir, según su contrato</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instructor_novedades</w:t>
            </w:r>
          </w:p>
        </w:tc>
        <w:tc>
          <w:tcPr>
            <w:tcW w:type="dxa" w:w="6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Licencias, incapacidades y comisiones — exclusión automática de asignaciones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fichas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Grupos de formación: número, programa, jornada, modalidad y etapa</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ambientes / ambiente_bloqueos</w:t>
            </w:r>
          </w:p>
        </w:tc>
        <w:tc>
          <w:tcPr>
            <w:tcW w:type="dxa" w:w="6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Aulas y talleres físicos, con bloqueos temporales programables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asignacion / asignacion_competencia</w:t>
            </w:r>
          </w:p>
        </w:tc>
        <w:tc>
          <w:tcPr>
            <w:tcW w:type="dxa" w:w="6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Núcleo del sistema: instructor ↔ ficha ↔ competencia, con trazabilidad de cambios</w:t>
            </w:r>
          </w:p>
        </w:tc>
      </w:tr>
      <w:tr>
        <w:tc>
          <w:tcPr>
            <w:tcW w:type="dxa" w:w="32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bCs/>
              </w:rPr>
              <w:t xml:space="preserve">horarios</w:t>
            </w:r>
          </w:p>
        </w:tc>
        <w:tc>
          <w:tcPr>
            <w:tcW w:type="dxa" w:w="68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Bloques de clase por instructor, ficha, ambiente y jornada</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rPr>
              <w:t xml:space="preserve">alertas / notificaciones</w:t>
            </w:r>
          </w:p>
        </w:tc>
        <w:tc>
          <w:tcPr>
            <w:tcW w:type="dxa" w:w="6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Alertas automáticas del sistema y notificaciones internas y por correo</w:t>
            </w:r>
          </w:p>
        </w:tc>
      </w:tr>
    </w:tbl>
    <w:p>
      <w:pPr>
        <w:pStyle w:val="Heading1"/>
      </w:pPr>
      <w:r>
        <w:t xml:space="preserve">7. Metodología de trabajo y cronograma</w:t>
      </w:r>
    </w:p>
    <w:p>
      <w:pPr>
        <w:pBdr>
          <w:bottom w:val="single" w:color="39A900" w:sz="12" w:space="4"/>
        </w:pBdr>
        <w:spacing w:after="200"/>
      </w:pPr>
    </w:p>
    <w:p>
      <w:pPr>
        <w:spacing w:after="160" w:line="300"/>
        <w:jc w:val="both"/>
      </w:pPr>
      <w:r>
        <w:rPr>
          <w:b w:val="false"/>
          <w:bCs w:val="false"/>
          <w:i w:val="false"/>
          <w:iCs w:val="false"/>
        </w:rPr>
        <w:t xml:space="preserve">El proyecto se desarrolla bajo un esquema de fases secuenciales propio de la etapa productiva SENA (GFPI-F-023), con entregas y evidencias verificables al cierre de cada fase. El ciclo completo, desde el análisis de requisitos hasta el despliegue en producción, se extiende de abril a octubre de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780"/>
        <w:gridCol w:w="3600"/>
      </w:tblGrid>
      <w:tr>
        <w:trPr>
          <w:tblHeader/>
        </w:trPr>
        <w:tc>
          <w:tcPr>
            <w:tcW w:type="dxa" w:w="7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Fase</w:t>
            </w:r>
          </w:p>
        </w:tc>
        <w:tc>
          <w:tcPr>
            <w:tcW w:type="dxa" w:w="3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Actividad principal</w:t>
            </w:r>
          </w:p>
        </w:tc>
        <w:tc>
          <w:tcPr>
            <w:tcW w:type="dxa" w:w="278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Período</w:t>
            </w:r>
          </w:p>
        </w:tc>
        <w:tc>
          <w:tcPr>
            <w:tcW w:type="dxa" w:w="36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Estado</w:t>
            </w:r>
          </w:p>
        </w:tc>
      </w:tr>
      <w:tr>
        <w:tc>
          <w:tcPr>
            <w:tcW w:type="dxa" w:w="7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F1</w:t>
            </w:r>
          </w:p>
        </w:tc>
        <w:tc>
          <w:tcPr>
            <w:tcW w:type="dxa" w:w="3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Análisis y requisitos</w:t>
            </w:r>
          </w:p>
        </w:tc>
        <w:tc>
          <w:tcPr>
            <w:tcW w:type="dxa" w:w="27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09/04 – 30/04/2026</w:t>
            </w:r>
          </w:p>
        </w:tc>
        <w:tc>
          <w:tcPr>
            <w:tcW w:type="dxa" w:w="36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Completada</w:t>
            </w:r>
          </w:p>
        </w:tc>
      </w:tr>
      <w:tr>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F2</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Modelado y diseño</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04/05 – 15/05/2026</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Completada anticipadamente</w:t>
            </w:r>
          </w:p>
        </w:tc>
      </w:tr>
      <w:tr>
        <w:tc>
          <w:tcPr>
            <w:tcW w:type="dxa" w:w="7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F3</w:t>
            </w:r>
          </w:p>
        </w:tc>
        <w:tc>
          <w:tcPr>
            <w:tcW w:type="dxa" w:w="3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Construcción</w:t>
            </w:r>
          </w:p>
        </w:tc>
        <w:tc>
          <w:tcPr>
            <w:tcW w:type="dxa" w:w="27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19/05 – 06/08/2026</w:t>
            </w:r>
          </w:p>
        </w:tc>
        <w:tc>
          <w:tcPr>
            <w:tcW w:type="dxa" w:w="36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En curso (backend completo, frontend 11 páginas)</w:t>
            </w:r>
          </w:p>
        </w:tc>
      </w:tr>
      <w:tr>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F4</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Pruebas y ajustes</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10/08 – 28/08/2026</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Pendiente</w:t>
            </w:r>
          </w:p>
        </w:tc>
      </w:tr>
      <w:tr>
        <w:tc>
          <w:tcPr>
            <w:tcW w:type="dxa" w:w="7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F5</w:t>
            </w:r>
          </w:p>
        </w:tc>
        <w:tc>
          <w:tcPr>
            <w:tcW w:type="dxa" w:w="3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Documentación y despliegue</w:t>
            </w:r>
          </w:p>
        </w:tc>
        <w:tc>
          <w:tcPr>
            <w:tcW w:type="dxa" w:w="278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31/08 – 18/09/2026</w:t>
            </w:r>
          </w:p>
        </w:tc>
        <w:tc>
          <w:tcPr>
            <w:tcW w:type="dxa" w:w="36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Pendiente</w:t>
            </w:r>
          </w:p>
        </w:tc>
      </w:tr>
      <w:tr>
        <w:tc>
          <w:tcPr>
            <w:tcW w:type="dxa" w:w="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Buffer / cierre administrativo</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21/09 – 07/10/2026</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Reservado</w:t>
            </w:r>
          </w:p>
        </w:tc>
      </w:tr>
    </w:tbl>
    <w:p>
      <w:pPr>
        <w:spacing w:after="0" w:before="200"/>
      </w:pPr>
    </w:p>
    <w:p>
      <w:pPr>
        <w:spacing w:after="160" w:line="300"/>
        <w:jc w:val="both"/>
      </w:pPr>
      <w:r>
        <w:rPr>
          <w:b w:val="false"/>
          <w:bCs w:val="false"/>
          <w:i w:val="false"/>
          <w:iCs w:val="false"/>
        </w:rPr>
        <w:t xml:space="preserve">Al cierre de este documento (semana 10, junio de 2026), el backend se encuentra completo en los nueve módulos planeados (Auth, Instructores, Fichas, Horarios, Asignaciones, Notificaciones, Ambientes, Consultas y Auditoría) y el frontend cuenta con 11 páginas y 18 componentes modulares integrados. Las 17 reglas de negocio (RN-01 a RN-17) descritas en la Lógica de Negocio v5.1 están implementadas y validadas contra el modelo de datos vigente.</w:t>
      </w:r>
    </w:p>
    <w:p>
      <w:pPr>
        <w:pStyle w:val="Heading1"/>
      </w:pPr>
      <w:r>
        <w:t xml:space="preserve">8. Equipo de trabajo</w:t>
      </w:r>
    </w:p>
    <w:p>
      <w:pPr>
        <w:pBdr>
          <w:bottom w:val="single" w:color="39A900" w:sz="12" w:space="4"/>
        </w:pBdr>
        <w:spacing w:after="200"/>
      </w:pPr>
    </w:p>
    <w:p>
      <w:pPr>
        <w:spacing w:after="160" w:line="300"/>
        <w:jc w:val="both"/>
      </w:pPr>
      <w:r>
        <w:rPr>
          <w:b w:val="false"/>
          <w:bCs w:val="false"/>
          <w:i w:val="false"/>
          <w:iCs w:val="false"/>
        </w:rPr>
        <w:t xml:space="preserve">El proyecto es desarrollado por dos aprendices del programa Análisis y Desarrollo de Software, con acompañamiento técnico y de seguimiento del cuerpo de instructores del CDMC, y bajo la supervisión académica de la coordinación correspondiente.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Rol</w:t>
            </w:r>
          </w:p>
        </w:tc>
        <w:tc>
          <w:tcPr>
            <w:tcW w:type="dxa" w:w="33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Nombre</w:t>
            </w:r>
          </w:p>
        </w:tc>
        <w:tc>
          <w:tcPr>
            <w:tcW w:type="dxa" w:w="33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Observación</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bCs/>
              </w:rPr>
              <w:t xml:space="preserve">Instructor líder técnico</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Luis Eladio Porras Camargo</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lporras@sena.edu.co</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bCs/>
              </w:rPr>
              <w:t xml:space="preserve">Coordinadora Académica</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Leidy Johana Ruiz Cortés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ljruizc@sena.edu.co</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bCs/>
              </w:rPr>
              <w:t xml:space="preserve">Coordinador Académico Medular</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Paul Ernesto Tamayo Caviedes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Línea calzado, marroquinería, curtición</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bCs/>
              </w:rPr>
              <w:t xml:space="preserve">Subdirector de Centro</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Dyron Javier Ramírez Osorio</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Administrador principal del sistema</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bCs/>
              </w:rPr>
              <w:t xml:space="preserve">Aprendiz — Backend, BD y análisis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Jair Enrique González Buelvas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Rama dev/Jair</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bCs/>
              </w:rPr>
              <w:t xml:space="preserve">Aprendiz — Frontend y diseño</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Laura Sofía Posada</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Rama dev/laura</w:t>
            </w:r>
          </w:p>
        </w:tc>
      </w:tr>
    </w:tbl>
    <w:p>
      <w:r>
        <w:br w:type="page"/>
      </w:r>
    </w:p>
    <w:p>
      <w:pPr>
        <w:pStyle w:val="Heading1"/>
      </w:pPr>
      <w:r>
        <w:t xml:space="preserve">Anexo No. 1 — Acta de Compromiso Institucional</w:t>
      </w:r>
    </w:p>
    <w:p>
      <w:pPr>
        <w:pBdr>
          <w:bottom w:val="single" w:color="007832" w:sz="12" w:space="4"/>
        </w:pBdr>
        <w:spacing w:after="200"/>
      </w:pPr>
    </w:p>
    <w:p>
      <w:pPr>
        <w:spacing w:after="160" w:line="300"/>
        <w:jc w:val="both"/>
      </w:pPr>
      <w:r>
        <w:rPr>
          <w:b w:val="false"/>
          <w:bCs w:val="false"/>
          <w:i w:val="false"/>
          <w:iCs w:val="false"/>
        </w:rPr>
        <w:t xml:space="preserve">En Itagüí, Antioquia, a los 20 días del mes de junio de 2026, se suscribe la presente Acta de Compromiso Institucional entre el Centro del Diseño y Manufactura del Cuero (CDMC) del SENA y el equipo de desarrollo del proyecto CONINS, en el marco de la etapa productiva de la formación de Análisis y Desarrollo de Software. Esta acta no genera obligaciones de pago ni contraprestación económica entre las partes, por tratarse de un desarrollo formativo institucional sin ánimo de lucro.</w:t>
      </w:r>
    </w:p>
    <w:p>
      <w:pPr>
        <w:pStyle w:val="Heading2"/>
      </w:pPr>
      <w:r>
        <w:t xml:space="preserve">1. Partes</w:t>
      </w:r>
    </w:p>
    <w:p>
      <w:pPr>
        <w:spacing w:after="160" w:line="300"/>
        <w:jc w:val="both"/>
      </w:pPr>
      <w:r>
        <w:rPr>
          <w:b w:val="false"/>
          <w:bCs w:val="false"/>
          <w:i w:val="false"/>
          <w:iCs w:val="false"/>
        </w:rPr>
        <w:t xml:space="preserve">El Centro del Diseño y Manufactura del Cuero (CDMC), representado por su Subdirector de Centro, en calidad de receptor y beneficiario del sistema; y el Equipo de Desarrollo del Proyecto CONINS, conformado por los aprendices Jair Enrique González Buelvas y Laura Sofía Posada, bajo supervisión del instructor líder técnico, en calidad de desarrolladores.</w:t>
      </w:r>
    </w:p>
    <w:p>
      <w:pPr>
        <w:pStyle w:val="Heading2"/>
      </w:pPr>
      <w:r>
        <w:t xml:space="preserve">2. Objeto</w:t>
      </w:r>
    </w:p>
    <w:p>
      <w:pPr>
        <w:spacing w:after="160" w:line="300"/>
        <w:jc w:val="both"/>
      </w:pPr>
      <w:r>
        <w:rPr>
          <w:b w:val="false"/>
          <w:bCs w:val="false"/>
          <w:i w:val="false"/>
          <w:iCs w:val="false"/>
        </w:rPr>
        <w:t xml:space="preserve">El objeto de la presente acta es formalizar el compromiso mutuo para el diseño, desarrollo, validación y puesta en marcha del sistema de información CONINS, conforme al alcance funcional y técnico descrito en esta propuesta y en sus documentos de referencia (Requisitos Funcionales v6.0, Lógica de Negocio v5.1 y Cronograma vigente).</w:t>
      </w:r>
    </w:p>
    <w:p>
      <w:pPr>
        <w:pStyle w:val="Heading2"/>
      </w:pPr>
      <w:r>
        <w:t xml:space="preserve">3. Alcance del compromiso de desarrollo</w:t>
      </w:r>
    </w:p>
    <w:p>
      <w:pPr>
        <w:pStyle w:val="ListParagraph"/>
        <w:numPr>
          <w:ilvl w:val="0"/>
          <w:numId w:val="2"/>
        </w:numPr>
        <w:spacing w:after="100" w:line="290"/>
      </w:pPr>
      <w:r>
        <w:t xml:space="preserve">Un backend en Node.js, Express y TypeScript con la totalidad de los módulos y reglas de negocio descritos en el Anexo No. 2.</w:t>
      </w:r>
    </w:p>
    <w:p>
      <w:pPr>
        <w:pStyle w:val="ListParagraph"/>
        <w:numPr>
          <w:ilvl w:val="0"/>
          <w:numId w:val="2"/>
        </w:numPr>
        <w:spacing w:after="100" w:line="290"/>
      </w:pPr>
      <w:r>
        <w:t xml:space="preserve">Un frontend en Next.js con las vistas necesarias para la operación de cada rol del sistema.</w:t>
      </w:r>
    </w:p>
    <w:p>
      <w:pPr>
        <w:pStyle w:val="ListParagraph"/>
        <w:numPr>
          <w:ilvl w:val="0"/>
          <w:numId w:val="2"/>
        </w:numPr>
        <w:spacing w:after="100" w:line="290"/>
      </w:pPr>
      <w:r>
        <w:t xml:space="preserve">Documentación técnica, manual de usuario y manual de despliegue al cierre del proyecto.</w:t>
      </w:r>
    </w:p>
    <w:p>
      <w:pPr>
        <w:pStyle w:val="ListParagraph"/>
        <w:numPr>
          <w:ilvl w:val="0"/>
          <w:numId w:val="2"/>
        </w:numPr>
        <w:spacing w:after="100" w:line="290"/>
      </w:pPr>
      <w:r>
        <w:t xml:space="preserve">Acompañamiento en el despliegue inicial y capacitación básica a los roles administrativos del CDMC.</w:t>
      </w:r>
    </w:p>
    <w:p>
      <w:pPr>
        <w:pStyle w:val="Heading2"/>
      </w:pPr>
      <w:r>
        <w:t xml:space="preserve">4. Obligaciones del equipo de desarrollo</w:t>
      </w:r>
    </w:p>
    <w:p>
      <w:pPr>
        <w:pStyle w:val="ListParagraph"/>
        <w:numPr>
          <w:ilvl w:val="0"/>
          <w:numId w:val="2"/>
        </w:numPr>
        <w:spacing w:after="100" w:line="290"/>
      </w:pPr>
      <w:r>
        <w:t xml:space="preserve">Cumplir con los Requisitos Funcionales aprobados en el Anexo No. 2 y las reglas de negocio documentadas.</w:t>
      </w:r>
    </w:p>
    <w:p>
      <w:pPr>
        <w:pStyle w:val="ListParagraph"/>
        <w:numPr>
          <w:ilvl w:val="0"/>
          <w:numId w:val="2"/>
        </w:numPr>
        <w:spacing w:after="100" w:line="290"/>
      </w:pPr>
      <w:r>
        <w:t xml:space="preserve">Mantener informados a los directivos del CDMC sobre el avance, los cambios de alcance y los hitos del cronograma.</w:t>
      </w:r>
    </w:p>
    <w:p>
      <w:pPr>
        <w:pStyle w:val="ListParagraph"/>
        <w:numPr>
          <w:ilvl w:val="0"/>
          <w:numId w:val="2"/>
        </w:numPr>
        <w:spacing w:after="100" w:line="290"/>
      </w:pPr>
      <w:r>
        <w:t xml:space="preserve">Garantizar el correcto funcionamiento del sistema en el entorno de despliegue acordado.</w:t>
      </w:r>
    </w:p>
    <w:p>
      <w:pPr>
        <w:pStyle w:val="ListParagraph"/>
        <w:numPr>
          <w:ilvl w:val="0"/>
          <w:numId w:val="2"/>
        </w:numPr>
        <w:spacing w:after="100" w:line="290"/>
      </w:pPr>
      <w:r>
        <w:t xml:space="preserve">Mantener confidencialidad sobre la información académica y operativa del CDMC a la que tenga acceso durante el desarrollo.</w:t>
      </w:r>
    </w:p>
    <w:p>
      <w:pPr>
        <w:pStyle w:val="ListParagraph"/>
        <w:numPr>
          <w:ilvl w:val="0"/>
          <w:numId w:val="2"/>
        </w:numPr>
        <w:spacing w:after="100" w:line="290"/>
      </w:pPr>
      <w:r>
        <w:t xml:space="preserve">Entregar el código fuente, la documentación y los manuales correspondientes al finalizar la etapa productiva.</w:t>
      </w:r>
    </w:p>
    <w:p>
      <w:pPr>
        <w:pStyle w:val="Heading2"/>
      </w:pPr>
      <w:r>
        <w:t xml:space="preserve">5. Obligaciones del CDMC</w:t>
      </w:r>
    </w:p>
    <w:p>
      <w:pPr>
        <w:pStyle w:val="ListParagraph"/>
        <w:numPr>
          <w:ilvl w:val="0"/>
          <w:numId w:val="2"/>
        </w:numPr>
        <w:spacing w:after="100" w:line="290"/>
      </w:pPr>
      <w:r>
        <w:t xml:space="preserve">Proporcionar información veraz y oportuna sobre los procesos académicos y administrativos objeto del sistema (instructores, programas, ambientes, novedades).</w:t>
      </w:r>
    </w:p>
    <w:p>
      <w:pPr>
        <w:pStyle w:val="ListParagraph"/>
        <w:numPr>
          <w:ilvl w:val="0"/>
          <w:numId w:val="2"/>
        </w:numPr>
        <w:spacing w:after="100" w:line="290"/>
      </w:pPr>
      <w:r>
        <w:t xml:space="preserve">Designar un responsable para la revisión y aprobación de avances, incluyendo la aprobación formal de los Requisitos Funcionales (Anexo No. 2).</w:t>
      </w:r>
    </w:p>
    <w:p>
      <w:pPr>
        <w:pStyle w:val="ListParagraph"/>
        <w:numPr>
          <w:ilvl w:val="0"/>
          <w:numId w:val="2"/>
        </w:numPr>
        <w:spacing w:after="100" w:line="290"/>
      </w:pPr>
      <w:r>
        <w:t xml:space="preserve">Validar los cambios de alcance que se presenten durante el desarrollo, antes de su implementación.</w:t>
      </w:r>
    </w:p>
    <w:p>
      <w:pPr>
        <w:pStyle w:val="ListParagraph"/>
        <w:numPr>
          <w:ilvl w:val="0"/>
          <w:numId w:val="2"/>
        </w:numPr>
        <w:spacing w:after="100" w:line="290"/>
      </w:pPr>
      <w:r>
        <w:t xml:space="preserve">Facilitar el entorno de despliegue (servidor, dominio o infraestructura institucional) cuando el proyecto llegue a la fase de producción.</w:t>
      </w:r>
    </w:p>
    <w:p>
      <w:pPr>
        <w:pStyle w:val="Heading2"/>
      </w:pPr>
      <w:r>
        <w:t xml:space="preserve">6. Propiedad de la información y del código</w:t>
      </w:r>
    </w:p>
    <w:p>
      <w:pPr>
        <w:spacing w:after="160" w:line="300"/>
        <w:jc w:val="both"/>
      </w:pPr>
      <w:r>
        <w:rPr>
          <w:b w:val="false"/>
          <w:bCs w:val="false"/>
          <w:i w:val="false"/>
          <w:iCs w:val="false"/>
        </w:rPr>
        <w:t xml:space="preserve">El código fuente, la base de datos, la documentación técnica y los materiales de diseño desarrollados en el marco de este proyecto serán propiedad institucional del SENA — CDMC, en su calidad de entidad receptora de la formación. El equipo de desarrollo conserva el derecho moral de autoría sobre su trabajo, en los términos del reglamento del aprendiz SENA.</w:t>
      </w:r>
    </w:p>
    <w:p>
      <w:pPr>
        <w:pStyle w:val="Heading2"/>
      </w:pPr>
      <w:r>
        <w:t xml:space="preserve">7. Confidencialidad</w:t>
      </w:r>
    </w:p>
    <w:p>
      <w:pPr>
        <w:spacing w:after="160" w:line="300"/>
        <w:jc w:val="both"/>
      </w:pPr>
      <w:r>
        <w:rPr>
          <w:b w:val="false"/>
          <w:bCs w:val="false"/>
          <w:i w:val="false"/>
          <w:iCs w:val="false"/>
        </w:rPr>
        <w:t xml:space="preserve">Ambas partes se comprometen a no divulgar a terceros la información académica, operativa o personal del CDMC y de sus instructores a la que se tenga acceso durante el desarrollo del proyecto. Esta obligación permanece vigente incluso después de finalizada la etapa productiva.</w:t>
      </w:r>
    </w:p>
    <w:p>
      <w:pPr>
        <w:pStyle w:val="Heading2"/>
      </w:pPr>
      <w:r>
        <w:t xml:space="preserve">8. Vigencia</w:t>
      </w:r>
    </w:p>
    <w:p>
      <w:pPr>
        <w:spacing w:after="160" w:line="300"/>
        <w:jc w:val="both"/>
      </w:pPr>
      <w:r>
        <w:rPr>
          <w:b w:val="false"/>
          <w:bCs w:val="false"/>
          <w:i w:val="false"/>
          <w:iCs w:val="false"/>
        </w:rPr>
        <w:t xml:space="preserve">La presente acta rige desde su firma hasta la entrega formal del sistema y la documentación asociada, conforme al cronograma vigente (fases F1 a F5, con cierre estimado el 18 de septiembre de 2026), sin perjuicio del periodo de buffer y cierre administrativo de la bitácora SENA.</w:t>
      </w:r>
    </w:p>
    <w:p>
      <w:pPr>
        <w:spacing w:before="400"/>
      </w:pPr>
    </w:p>
    <w:p>
      <w:pPr>
        <w:pBdr>
          <w:top w:val="single" w:color="1A1A1A" w:sz="4" w:space="1"/>
        </w:pBdr>
        <w:spacing w:after="60" w:before="500"/>
      </w:pPr>
      <w:r>
        <w:t xml:space="preserve"> </w:t>
      </w:r>
    </w:p>
    <w:p>
      <w:pPr>
        <w:spacing w:after="0"/>
      </w:pPr>
      <w:r>
        <w:rPr>
          <w:b/>
          <w:bCs/>
        </w:rPr>
        <w:t xml:space="preserve">Dyron Javier Ramírez Osorio</w:t>
      </w:r>
    </w:p>
    <w:p>
      <w:pPr>
        <w:spacing w:after="300"/>
      </w:pPr>
      <w:r>
        <w:rPr>
          <w:i/>
          <w:iCs/>
          <w:sz w:val="20"/>
          <w:szCs w:val="20"/>
        </w:rPr>
        <w:t xml:space="preserve">Subdirector de Centro — CDMC SENA</w:t>
      </w:r>
    </w:p>
    <w:p>
      <w:pPr>
        <w:pBdr>
          <w:top w:val="single" w:color="1A1A1A" w:sz="4" w:space="1"/>
        </w:pBdr>
        <w:spacing w:after="60" w:before="500"/>
      </w:pPr>
      <w:r>
        <w:t xml:space="preserve"> </w:t>
      </w:r>
    </w:p>
    <w:p>
      <w:pPr>
        <w:spacing w:after="0"/>
      </w:pPr>
      <w:r>
        <w:rPr>
          <w:b/>
          <w:bCs/>
        </w:rPr>
        <w:t xml:space="preserve">Luis Eladio Porras Camargo</w:t>
      </w:r>
    </w:p>
    <w:p>
      <w:pPr>
        <w:spacing w:after="300"/>
      </w:pPr>
      <w:r>
        <w:rPr>
          <w:i/>
          <w:iCs/>
          <w:sz w:val="20"/>
          <w:szCs w:val="20"/>
        </w:rPr>
        <w:t xml:space="preserve">Instructor líder técnico — CDMC SENA</w:t>
      </w:r>
    </w:p>
    <w:p>
      <w:pPr>
        <w:pBdr>
          <w:top w:val="single" w:color="1A1A1A" w:sz="4" w:space="1"/>
        </w:pBdr>
        <w:spacing w:after="60" w:before="500"/>
      </w:pPr>
      <w:r>
        <w:t xml:space="preserve"> </w:t>
      </w:r>
    </w:p>
    <w:p>
      <w:pPr>
        <w:spacing w:after="0"/>
      </w:pPr>
      <w:r>
        <w:rPr>
          <w:b/>
          <w:bCs/>
        </w:rPr>
        <w:t xml:space="preserve">Jair Enrique González Buelvas</w:t>
      </w:r>
    </w:p>
    <w:p>
      <w:pPr>
        <w:spacing w:after="300"/>
      </w:pPr>
      <w:r>
        <w:rPr>
          <w:i/>
          <w:iCs/>
          <w:sz w:val="20"/>
          <w:szCs w:val="20"/>
        </w:rPr>
        <w:t xml:space="preserve">Aprendiz — Backend, base de datos y análisis</w:t>
      </w:r>
    </w:p>
    <w:p>
      <w:pPr>
        <w:pBdr>
          <w:top w:val="single" w:color="1A1A1A" w:sz="4" w:space="1"/>
        </w:pBdr>
        <w:spacing w:after="60" w:before="500"/>
      </w:pPr>
      <w:r>
        <w:t xml:space="preserve"> </w:t>
      </w:r>
    </w:p>
    <w:p>
      <w:pPr>
        <w:spacing w:after="0"/>
      </w:pPr>
      <w:r>
        <w:rPr>
          <w:b/>
          <w:bCs/>
        </w:rPr>
        <w:t xml:space="preserve">Laura Sofía Posada</w:t>
      </w:r>
    </w:p>
    <w:p>
      <w:pPr>
        <w:spacing w:after="300"/>
      </w:pPr>
      <w:r>
        <w:rPr>
          <w:i/>
          <w:iCs/>
          <w:sz w:val="20"/>
          <w:szCs w:val="20"/>
        </w:rPr>
        <w:t xml:space="preserve">Aprendiz — Frontend y diseño</w:t>
      </w:r>
    </w:p>
    <w:p>
      <w:r>
        <w:br w:type="page"/>
      </w:r>
    </w:p>
    <w:p>
      <w:pPr>
        <w:pStyle w:val="Heading1"/>
      </w:pPr>
      <w:r>
        <w:t xml:space="preserve">Anexo No. 2 — Aprobación de Requisitos Funcionales (RF v6.1)</w:t>
      </w:r>
    </w:p>
    <w:p>
      <w:pPr>
        <w:pBdr>
          <w:bottom w:val="single" w:color="007832" w:sz="12" w:space="4"/>
        </w:pBdr>
        <w:spacing w:after="200"/>
      </w:pPr>
    </w:p>
    <w:p>
      <w:pPr>
        <w:spacing w:after="160" w:line="300"/>
        <w:jc w:val="both"/>
      </w:pPr>
      <w:r>
        <w:rPr>
          <w:b w:val="false"/>
          <w:bCs w:val="false"/>
          <w:i w:val="false"/>
          <w:iCs w:val="false"/>
        </w:rPr>
        <w:t xml:space="preserve">La siguiente tabla contiene la totalidad de los 47 Requisitos Funcionales vigentes de CONINS, organizados en los 8 módulos del sistema. Se solicita al comité directivo del CDMC marcar la aprobación de cada requisito y registrar las observaciones que considere pertinentes. Los requisitos no aprobados, o aprobados con observaciones, serán objeto de ajuste de alcance y reflejados en una nueva versión de este anexo antes de continuar con el desarrollo correspondiente.</w:t>
      </w:r>
    </w:p>
    <w:p>
      <w:pPr>
        <w:pStyle w:val="Heading2"/>
      </w:pPr>
      <w:r>
        <w:t xml:space="preserve">Módulo AUTH — Autenticación y gestión de cuentas (RF-01 a RF-13, RF-46)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RF-01</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el registro de administradores (Subdirector y Coordinadores) previa existencia del usuario en la base de datos.</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RF-02</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el inicio de sesión seguro de administradores.</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RF-03</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los administradores editar su propia cuenta de usuario.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RF-04</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administradores recuperar y cambiar su contraseña.</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RF-05</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los administradores deshabilitar cuentas de usuarios con menor jerarquía.</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RF-06</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administradores reactivar cuentas previamente deshabilitadas.</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RF-07</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los administradores cerrar sesión de forma segura.</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RF-08</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el registro de líderes e instructores, de acuerdo a su rol, previa existencia en la base de datos.</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RF-09</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el inicio de sesión seguro de líderes e instructores.</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RF-10</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líderes e instructores editar su propia cuenta de usuario.</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RF-11</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los líderes e instructores recuperar y cambiar su contraseña.</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RF-12</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líderes e instructores cerrar sesión de forma segura.</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RF-13</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los administradores crear y habilitar cuentas de nuevos usuarios (líderes e instructores), asignando correo, cargo y área antes de que puedan registrarse.</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RF-46</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administradores registrar y consultar el tipo y número de documento de identidad de cada usuario del sistema (CC, CE, TI o pasaporte), como campo adicional al registro de la cuenta de usuario.</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Módulo Instructores (RF-14 a RF-16)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RF-14</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y actualizar tipo de contrato, tipo de área y vigencia del contrato del instructor, como complemento a su cuenta de usuario.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RF-15</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Registrar y actualizar las competencias habilitadas de cada instructor según su contrato, para que el sistema las filtre al asignar.</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RF-16</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una novedad administrativa de un instructor activo (licencia, incapacidad, comisión u otra), excluyéndolo de asignaciones mientras esté vigente y reincorporándolo automáticamente al vencer la fecha de regreso.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Módulo Fichas (RF-17 a RF-20, RF-47)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RF-17</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fichas de formación con número, fechas, etapa (lectiva o productiva), programa, jornada, modalidad y líderes.</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RF-18</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Editar la información de una ficha registrada, incluyendo el avance de etapa lectiva a productiva.</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RF-19</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Deshabilitar fichas sin eliminarlas físicamente, conservando su historial de asignaciones y horarios.</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RF-20</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Consultar y filtrar el listado de fichas por programa, jornada, etapa y modalidad.</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RF-47</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una novedad administrativa de una ficha activa (comité de evaluación, paro, actividad académica fuera del CDMC u otra), excluyéndola de nuevas asignaciones de horarios mientras esté vigente y reincorporándola automáticamente al vencer la fecha de regreso.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Módulo Horarios (RF-21 a RF-24)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RF-21</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horarios asociados a fichas, instructores, ambientes y jornadas.</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RF-22</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Editar los horarios registrados en el sistema.</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RF-23</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Deshabilitar horarios sin eliminarlos físicamente, dejando registro del cambio.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RF-24</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Visualizar la malla de horarios de una ficha o instructor en formato de grilla semanal, con jornada, ambiente e instructor por día.</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Módulo Asignaciones (RF-25 a RF-30)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RF-25</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Asignar el rol de líder de programa a un instructor y designar al líder de una ficha.</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RF-26</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Asignar programas de formación a líderes, respetando la línea del coordinador correspondiente.</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RF-27</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Asignar competencias a instructores, validando que estén habilitadas según su contrato.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RF-28</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Asignar ambientes a fichas e instructores, validando disponibilidad por jornada, horario y bloqueo temporal.</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RF-29</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asignaciones provisionales fuera del área del instructor, con autorizante, fecha y motivo.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RF-30</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líderes de programa asignar instructores y ambientes dentro de sus programas, por instrucción de un administrador.</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Módulo Ambientes (RF-31)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RF-31</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bloqueos temporales de un ambiente (fecha de inicio, fin y motivo), excluyéndolo de asignaciones durante ese periodo y reincorporándolo automáticamente al vencer.</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Módulo Alertas, Validaciones y Notificaciones (RF-32 a RF-40)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RF-32</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Emitir alerta cuando un instructor supere el límite de horas semanales permitidas, sin bloquear la asignación.</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RF-33</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Emitir alerta al registrar horario nocturno o de fin de semana para instructor de planta, sin bloquear el registro.</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RF-34</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Emitir alerta cuando un ambiente ya esté ocupado en la misma jornada por otra ficha, sin bloquear el registro.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RF-35</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Impedir que un mismo RAP quede asignado a dos instructores distintos dentro de una misma ficha.</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RF-36</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Registrar la suspensión de un horario específico, con motivo opcional y trazabilidad del cambio.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RF-37</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Verificar automáticamente que los cambios en horarios, jornadas, instructores o ambientes no generen conflictos, emitiendo alerta si se detecta alguno.</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RF-38</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Notificar al instructor (interna + correo) cuando se le asigne, modifique o elimine una competencia o ficha, o se registre una novedad administrativa.</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RF-39</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Notificar al líder de programa (interna) ante cambios de asignación, novedades de sus instructores o provisionales en su línea.</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RF-40</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Notificar a coordinadores y subdirector (interna) ante alertas de carga horaria, asignaciones provisionales, bloqueos de ambiente o deshabilitación de cuentas en su línea o en el CDMC.</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Módulo Consulta y Visualización (RF-41 a RF-45)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5760"/>
        <w:gridCol w:w="1500"/>
        <w:gridCol w:w="2000"/>
      </w:tblGrid>
      <w:tr>
        <w:trPr>
          <w:tblHeader/>
        </w:trPr>
        <w:tc>
          <w:tcPr>
            <w:tcW w:type="dxa" w:w="82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576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Descripción del requisito</w:t>
            </w:r>
          </w:p>
        </w:tc>
        <w:tc>
          <w:tcPr>
            <w:tcW w:type="dxa" w:w="15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Aprobado</w:t>
            </w:r>
          </w:p>
        </w:tc>
        <w:tc>
          <w:tcPr>
            <w:tcW w:type="dxa" w:w="2000"/>
            <w:tcBorders>
              <w:top w:val="single" w:color="CCCCCC" w:sz="2"/>
              <w:left w:val="single" w:color="CCCCCC" w:sz="2"/>
              <w:bottom w:val="single" w:color="CCCCCC" w:sz="2"/>
              <w:right w:val="single" w:color="CCCCCC" w:sz="2"/>
            </w:tcBorders>
            <w:shd w:fill="007832"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RF-41</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los administradores consultar, visualizar, filtrar y buscar instructores, líderes, programas, competencias, ambientes, fichas, jornadas y horarios, incluyendo panel de carga horaria semanal.</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RF-42</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administradores visualizar el estado de asignaciones activas, provisionales e históricas.</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RF-43</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los líderes de programa consultar la información de instructores, competencias, ambientes y fichas de sus programas a cargo.</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bCs/>
              </w:rPr>
              <w:t xml:space="preserve">RF-44</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Permitir a los instructores consultar las fichas, competencias, ambientes y horarios que tienen asignados, incluyendo su historial de notificaciones.</w:t>
            </w:r>
          </w:p>
        </w:tc>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rPr>
              <w:t xml:space="preserve"> </w:t>
            </w:r>
          </w:p>
        </w:tc>
      </w:tr>
      <w:tr>
        <w:tc>
          <w:tcPr>
            <w:tcW w:type="dxa" w:w="82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bCs/>
              </w:rPr>
              <w:t xml:space="preserve">RF-45</w:t>
            </w:r>
          </w:p>
        </w:tc>
        <w:tc>
          <w:tcPr>
            <w:tcW w:type="dxa" w:w="576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sz w:val="19"/>
                <w:szCs w:val="19"/>
              </w:rPr>
              <w:t xml:space="preserve">Permitir a administradores y líderes exportar la malla de horarios de una ficha o instructor en formato PDF.</w:t>
            </w:r>
          </w:p>
        </w:tc>
        <w:tc>
          <w:tcPr>
            <w:tcW w:type="dxa" w:w="15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center"/>
            </w:pPr>
            <w:r>
              <w:rPr>
                <w:b w:val="false"/>
                <w:bCs w:val="false"/>
                <w:sz w:val="18"/>
                <w:szCs w:val="18"/>
              </w:rPr>
              <w:t xml:space="preserve">☐ Sí   ☐ No</w:t>
            </w:r>
          </w:p>
        </w:tc>
        <w:tc>
          <w:tcPr>
            <w:tcW w:type="dxa" w:w="2000"/>
            <w:tcBorders>
              <w:top w:val="single" w:color="CCCCCC" w:sz="2"/>
              <w:left w:val="single" w:color="CCCCCC" w:sz="2"/>
              <w:bottom w:val="single" w:color="CCCCCC" w:sz="2"/>
              <w:right w:val="single" w:color="CCCCCC" w:sz="2"/>
            </w:tcBorders>
            <w:shd w:fill="F6F6F6" w:val="clear"/>
            <w:tcMar>
              <w:top w:type="dxa" w:w="80"/>
              <w:left w:type="dxa" w:w="120"/>
              <w:bottom w:type="dxa" w:w="80"/>
              <w:right w:type="dxa" w:w="120"/>
            </w:tcMar>
            <w:vAlign w:val="center"/>
          </w:tcPr>
          <w:p>
            <w:pPr>
              <w:jc w:val="left"/>
            </w:pPr>
            <w:r>
              <w:rPr>
                <w:b w:val="false"/>
                <w:bCs w:val="false"/>
              </w:rPr>
              <w:t xml:space="preserve"> </w:t>
            </w:r>
          </w:p>
        </w:tc>
      </w:tr>
    </w:tbl>
    <w:p>
      <w:pPr>
        <w:spacing w:after="0" w:before="240"/>
      </w:pPr>
    </w:p>
    <w:p>
      <w:pPr>
        <w:pStyle w:val="Heading2"/>
      </w:pPr>
      <w:r>
        <w:t xml:space="preserve">Aprobación general del Anexo No. 2</w:t>
      </w:r>
    </w:p>
    <w:p>
      <w:pPr>
        <w:spacing w:after="160" w:line="300"/>
        <w:jc w:val="both"/>
      </w:pPr>
      <w:r>
        <w:rPr>
          <w:b w:val="false"/>
          <w:bCs w:val="false"/>
          <w:i w:val="false"/>
          <w:iCs w:val="false"/>
        </w:rPr>
        <w:t xml:space="preserve">Con la firma a continuación, el comité directivo del CDMC certifica haber revisado la totalidad de los 47 Requisitos Funcionales contenidos en este anexo y aprueba el alcance funcional aquí descrito como base oficial para el desarrollo del sistema CONINS, sujeto a las observaciones registradas individualmente en cada módulo.</w:t>
      </w:r>
    </w:p>
    <w:p>
      <w:pPr>
        <w:spacing w:before="300"/>
      </w:pPr>
    </w:p>
    <w:p>
      <w:pPr>
        <w:pBdr>
          <w:top w:val="single" w:color="1A1A1A" w:sz="4" w:space="1"/>
        </w:pBdr>
        <w:spacing w:after="60" w:before="500"/>
      </w:pPr>
      <w:r>
        <w:t xml:space="preserve"> </w:t>
      </w:r>
    </w:p>
    <w:p>
      <w:pPr>
        <w:spacing w:after="0"/>
      </w:pPr>
      <w:r>
        <w:rPr>
          <w:b/>
          <w:bCs/>
        </w:rPr>
        <w:t xml:space="preserve">Dyron Javier Ramírez Osorio</w:t>
      </w:r>
    </w:p>
    <w:p>
      <w:pPr>
        <w:spacing w:after="300"/>
      </w:pPr>
      <w:r>
        <w:rPr>
          <w:i/>
          <w:iCs/>
          <w:sz w:val="20"/>
          <w:szCs w:val="20"/>
        </w:rPr>
        <w:t xml:space="preserve">Subdirector de Centro — CDMC SENA</w:t>
      </w:r>
    </w:p>
    <w:p>
      <w:pPr>
        <w:pBdr>
          <w:top w:val="single" w:color="1A1A1A" w:sz="4" w:space="1"/>
        </w:pBdr>
        <w:spacing w:after="60" w:before="500"/>
      </w:pPr>
      <w:r>
        <w:t xml:space="preserve"> </w:t>
      </w:r>
    </w:p>
    <w:p>
      <w:pPr>
        <w:spacing w:after="0"/>
      </w:pPr>
      <w:r>
        <w:rPr>
          <w:b/>
          <w:bCs/>
        </w:rPr>
        <w:t xml:space="preserve">Leidy Johana Ruiz Cortés</w:t>
      </w:r>
    </w:p>
    <w:p>
      <w:pPr>
        <w:spacing w:after="300"/>
      </w:pPr>
      <w:r>
        <w:rPr>
          <w:i/>
          <w:iCs/>
          <w:sz w:val="20"/>
          <w:szCs w:val="20"/>
        </w:rPr>
        <w:t xml:space="preserve">Coordinadora Académica — CDMC SENA</w:t>
      </w:r>
    </w:p>
    <w:p>
      <w:pPr>
        <w:pBdr>
          <w:top w:val="single" w:color="1A1A1A" w:sz="4" w:space="1"/>
        </w:pBdr>
        <w:spacing w:after="60" w:before="500"/>
      </w:pPr>
      <w:r>
        <w:t xml:space="preserve"> </w:t>
      </w:r>
    </w:p>
    <w:p>
      <w:pPr>
        <w:spacing w:after="0"/>
      </w:pPr>
      <w:r>
        <w:rPr>
          <w:b/>
          <w:bCs/>
        </w:rPr>
        <w:t xml:space="preserve">Paul Ernesto Tamayo Caviedes</w:t>
      </w:r>
    </w:p>
    <w:p>
      <w:pPr>
        <w:spacing w:after="300"/>
      </w:pPr>
      <w:r>
        <w:rPr>
          <w:i/>
          <w:iCs/>
          <w:sz w:val="20"/>
          <w:szCs w:val="20"/>
        </w:rPr>
        <w:t xml:space="preserve">Coordinador Académico Medular — CDMC SENA</w:t>
      </w:r>
    </w:p>
    <w:p>
      <w:pPr>
        <w:pBdr>
          <w:top w:val="single" w:color="1A1A1A" w:sz="4" w:space="1"/>
        </w:pBdr>
        <w:spacing w:after="60" w:before="500"/>
      </w:pPr>
      <w:r>
        <w:t xml:space="preserve"> </w:t>
      </w:r>
    </w:p>
    <w:p>
      <w:pPr>
        <w:spacing w:after="0"/>
      </w:pPr>
      <w:r>
        <w:rPr>
          <w:b/>
          <w:bCs/>
        </w:rPr>
        <w:t xml:space="preserve">Luis Eladio Porras Camargo</w:t>
      </w:r>
    </w:p>
    <w:p>
      <w:pPr>
        <w:spacing w:after="300"/>
      </w:pPr>
      <w:r>
        <w:rPr>
          <w:i/>
          <w:iCs/>
          <w:sz w:val="20"/>
          <w:szCs w:val="20"/>
        </w:rPr>
        <w:t xml:space="preserve">Instructor líder técnico — CDMC SENA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7832"/>
        <w:sz w:val="18"/>
        <w:szCs w:val="18"/>
      </w:rPr>
      <w:t xml:space="preserve">Página </w:t>
    </w:r>
    <w:r>
      <w:rPr>
        <w:color w:val="007832"/>
        <w:sz w:val="18"/>
        <w:szCs w:val="18"/>
      </w:rPr>
      <w:fldChar w:fldCharType="begin"/>
      <w:instrText xml:space="preserve">PAGE</w:instrText>
      <w:fldChar w:fldCharType="separate"/>
      <w:fldChar w:fldCharType="end"/>
    </w:r>
    <w:r>
      <w:rPr>
        <w:color w:val="007832"/>
        <w:sz w:val="18"/>
        <w:szCs w:val="18"/>
      </w:rPr>
      <w:t xml:space="preserve"> de </w:t>
    </w:r>
    <w:r>
      <w:rPr>
        <w:color w:val="00783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A900" w:sz="6" w:space="4"/>
      </w:pBdr>
      <w:tabs>
        <w:tab w:val="right" w:pos="9026"/>
      </w:tabs>
    </w:pPr>
    <w:r>
      <w:rPr>
        <w:b/>
        <w:bCs/>
        <w:color w:val="00304D"/>
        <w:sz w:val="18"/>
        <w:szCs w:val="18"/>
      </w:rPr>
      <w:t xml:space="preserve">CONINS — Propuesta Técnica</w:t>
    </w:r>
    <w:r>
      <w:rPr>
        <w:color w:val="007832"/>
        <w:sz w:val="18"/>
        <w:szCs w:val="18"/>
      </w:rPr>
      <w:t xml:space="preserve">	CDMC ·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Work Sans" w:cs="Work Sans" w:eastAsia="Work Sans" w:hAnsi="Work Sans"/>
      <w:b/>
      <w:bCs/>
      <w:color w:val="00304D"/>
      <w:sz w:val="30"/>
      <w:szCs w:val="30"/>
    </w:rPr>
  </w:style>
  <w:style w:type="paragraph" w:styleId="Heading2">
    <w:name w:val="Heading 2"/>
    <w:basedOn w:val="Normal"/>
    <w:next w:val="Normal"/>
    <w:qFormat/>
    <w:pPr>
      <w:spacing w:after="140" w:before="260"/>
      <w:outlineLvl w:val="1"/>
    </w:pPr>
    <w:rPr>
      <w:rFonts w:ascii="Work Sans" w:cs="Work Sans" w:eastAsia="Work Sans" w:hAnsi="Work Sans"/>
      <w:b/>
      <w:bCs/>
      <w:color w:val="007832"/>
      <w:sz w:val="25"/>
      <w:szCs w:val="25"/>
    </w:rPr>
  </w:style>
  <w:style w:type="paragraph" w:styleId="Heading3">
    <w:name w:val="Heading 3"/>
    <w:basedOn w:val="Normal"/>
    <w:next w:val="Normal"/>
    <w:qFormat/>
    <w:pPr>
      <w:spacing w:after="100" w:before="200"/>
      <w:outlineLvl w:val="2"/>
    </w:pPr>
    <w:rPr>
      <w:rFonts w:ascii="Work Sans" w:cs="Work Sans" w:eastAsia="Work Sans" w:hAnsi="Work Sans"/>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2026-06-30T15:08:18.380Z</dcterms:created>
  <dcterms:modified xsi:type="dcterms:W3CDTF">2026-06-30T15:08:18.394Z</dcterms:modified>
</cp:coreProperties>
</file>

<file path=docProps/custom.xml><?xml version="1.0" encoding="utf-8"?>
<Properties xmlns="http://schemas.openxmlformats.org/officeDocument/2006/custom-properties" xmlns:vt="http://schemas.openxmlformats.org/officeDocument/2006/docPropsVTypes"/>
</file>