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Tier 3 Papers — Meta_Ozat SLR (AP25796141)</w:t>
      </w:r>
    </w:p>
    <w:p>
      <w:r>
        <w:rPr>
          <w:rFonts w:ascii="Arial" w:cs="Arial" w:eastAsia="Arial" w:hAnsi="Arial"/>
          <w:sz w:val="20"/>
          <w:szCs w:val="20"/>
        </w:rPr>
        <w:t xml:space="preserve">Updated: April 2026. Originally 21 papers were provisionally assigned to Tier 3 (abstract-only proxy scoring). After Unpaywall open-access verification, 19 of 21 were found to have accessible full texts and were re-assessed using the full MMAT 2018 instrument. These 19 papers were reclassified to Tier 1 (MMAT ≥4) or Tier 2 (MMAT 2–3). Only 2 papers remain at Tier 3 due to permanent closed-access status with no preprint or repository alternative.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Summary of reclassification:</w:t>
      </w:r>
    </w:p>
    <w:p>
      <w:r>
        <w:rPr>
          <w:rFonts w:ascii="Arial" w:cs="Arial" w:eastAsia="Arial" w:hAnsi="Arial"/>
          <w:sz w:val="20"/>
          <w:szCs w:val="20"/>
        </w:rPr>
        <w:t xml:space="preserve">  •  Original Tier 3 count: 21 papers</w:t>
      </w:r>
    </w:p>
    <w:p>
      <w:r>
        <w:rPr>
          <w:rFonts w:ascii="Arial" w:cs="Arial" w:eastAsia="Arial" w:hAnsi="Arial"/>
          <w:sz w:val="20"/>
          <w:szCs w:val="20"/>
        </w:rPr>
        <w:t xml:space="preserve">  •  Reclassified to Tier 1 (MMAT ≥4, open-access full text): 12 papers</w:t>
      </w:r>
    </w:p>
    <w:p>
      <w:r>
        <w:rPr>
          <w:rFonts w:ascii="Arial" w:cs="Arial" w:eastAsia="Arial" w:hAnsi="Arial"/>
          <w:sz w:val="20"/>
          <w:szCs w:val="20"/>
        </w:rPr>
        <w:t xml:space="preserve">  •  Reclassified to Tier 2 (MMAT 2–3, open-access full text): 7 papers</w:t>
      </w:r>
    </w:p>
    <w:p>
      <w:r>
        <w:rPr>
          <w:rFonts w:ascii="Arial" w:cs="Arial" w:eastAsia="Arial" w:hAnsi="Arial"/>
          <w:sz w:val="20"/>
          <w:szCs w:val="20"/>
        </w:rPr>
        <w:t xml:space="preserve">  •  Remaining Tier 3 (permanently closed-access): 2 papers (both RQ3)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Remaining Tier 3 Papers (n = 2)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Both papers are permanently closed-access (no preprint, no repository version found via Unpaywall). Quality score estimated using abstract-proxy method (MMAT 2018, score = 3 in each case). A sensitivity analysis confirmed that excluding these two papers from the synthesis does not change any primary conclusion (see main article, Limitations).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700"/>
        <w:gridCol w:w="1000"/>
        <w:gridCol w:w="700"/>
        <w:gridCol w:w="500"/>
        <w:gridCol w:w="19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MMAT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 (abstract)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ChatGPT Write Like a Student? Engagement Markers in Argumentative Essays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10.1177/07410883251328311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generates essays with different engagement marker patterns vs. students; teachers concerned about academic integrity implications.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ChatGPT-supported collaborative argumentation: Integrating collaboration script and argument 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10.1007/s10639-024-12986-4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integration with collaboration scripts and argument mapping supports EFL students in developing argumentation skills.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Access Status Notes</w:t>
      </w:r>
    </w:p>
    <w:p>
      <w:r>
        <w:rPr>
          <w:rFonts w:ascii="Arial" w:cs="Arial" w:eastAsia="Arial" w:hAnsi="Arial"/>
          <w:sz w:val="20"/>
          <w:szCs w:val="20"/>
        </w:rPr>
        <w:t xml:space="preserve">T3-1 (DOI: 10.1177/07410883251328311) is published in a SAGE journal. Verified closed-access via Unpaywall API (April 2026); no preprint found in arXiv, bioRxiv, SSRN, or institutional repositories.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T3-2 (DOI: 10.1007/s10639-024-12986-4) is published by Springer in Education and Information Technologies. Verified closed-access via Unpaywall API (April 2026); no publicly accessible version found.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Sensitivity Analysis Result</w:t>
      </w:r>
    </w:p>
    <w:p>
      <w:r>
        <w:rPr>
          <w:rFonts w:ascii="Arial" w:cs="Arial" w:eastAsia="Arial" w:hAnsi="Arial"/>
          <w:sz w:val="20"/>
          <w:szCs w:val="20"/>
        </w:rPr>
        <w:t xml:space="preserve">Restricting the synthesis corpus to Tier 1+2 papers (n = 71; 97.3% of 73-paper corpus) and excluding these two Tier 3 studies yields identical conclusions across all five research questions. The two RQ3 Tier 3 papers address ChatGPT and argumentation; multiple Tier 1+2 RQ3 papers cover the same topic, so no evidence gap is created by their exclusion.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2026-04-13T00:57:29.542Z</dcterms:created>
  <dcterms:modified xsi:type="dcterms:W3CDTF">2026-04-13T00:57:29.543Z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