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Muhammad Ahmed</w:t>
      </w:r>
      <w:r>
        <w:rPr>
          <w:vertAlign w:val="superscript"/>
        </w:rPr>
        <w:t xml:space="preserve">a,*</w:t>
      </w:r>
      <w:r>
        <w:t xml:space="preserve">, Maleeha Waseem</w:t>
      </w:r>
      <w:r>
        <w:rPr>
          <w:vertAlign w:val="superscript"/>
        </w:rPr>
        <w:t xml:space="preserve">a</w:t>
      </w:r>
      <w:r>
        <w:t xml:space="preserve">, Muhammad Arham</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of Civil Engineering, Ghulam Ishaq Khan Institute of Engineering Sciences and Technology, Topi 23640, Swabi, Khyber Pakhtunkhwa, Pakistan</w:t>
      </w:r>
    </w:p>
    <w:p>
      <w:pPr>
        <w:pStyle w:val="Author"/>
      </w:pPr>
      <w:r>
        <w:rPr>
          <w:b w:val="0"/>
          <w:i w:val="0"/>
          <w:vertAlign w:val="superscript"/>
        </w:rPr>
        <w:t xml:space="preserve">*</w:t>
      </w:r>
      <w:r>
        <w:rPr>
          <w:b w:val="0"/>
          <w:i w:val="0"/>
        </w:rPr>
        <w:t xml:space="preserve"> </w:t>
      </w:r>
      <w:r>
        <w:rPr>
          <w:b w:val="0"/>
          <w:i w:val="0"/>
        </w:rPr>
        <w:t xml:space="preserve">Corresponding author. E-mail addresses: muhammed.ahmed0999@gmail.com (Muhammad Ahmed), maleehawaseem30@gmail.com (Maleeha Waseem), muhammadarham6333@gmail.com (Muhammad Arham).</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for example between a duct and a beam, is reported for resolution before construction. Clashes that surface on site cause rework, delay and cost</w:t>
      </w:r>
      <w:r>
        <w:t xml:space="preserve"> </w:t>
      </w:r>
      <w:r>
        <w:t xml:space="preserve">(</w:t>
      </w:r>
      <w:hyperlink w:anchor="_0d11f79aa28cd9deb2c05ea92254aebbdb6c879">
        <w:r>
          <w:rPr>
            <w:rStyle w:val="Hyperlink"/>
          </w:rPr>
          <w:t xml:space="preserve">Chahrour et al. 2020</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Akponeware and Adamu 2017</w:t>
        </w:r>
      </w:hyperlink>
      <w:r>
        <w:t xml:space="preserve">)</w:t>
      </w:r>
      <w:r>
        <w:t xml:space="preserve">. Commercial clash engines, however, report thousands of interferences per building, many of them irrelevant or duplicates of one issue</w:t>
      </w:r>
      <w:r>
        <w:t xml:space="preserve"> </w:t>
      </w:r>
      <w:r>
        <w:t xml:space="preserve">(</w:t>
      </w:r>
      <w:hyperlink w:anchor="_bcb3e6187df855698f5478690210076e621ae4f">
        <w:r>
          <w:rPr>
            <w:rStyle w:val="Hyperlink"/>
          </w:rPr>
          <w:t xml:space="preserve">Hu and Castro-Lacouture 2019</w:t>
        </w:r>
      </w:hyperlink>
      <w:r>
        <w:t xml:space="preserve">;</w:t>
      </w:r>
      <w:r>
        <w:t xml:space="preserve"> </w:t>
      </w:r>
      <w:hyperlink w:anchor="_9657f735728280ff8f3f6836cdef366d962b57b">
        <w:r>
          <w:rPr>
            <w:rStyle w:val="Hyperlink"/>
          </w:rPr>
          <w:t xml:space="preserve">Lin and Huang 2019</w:t>
        </w:r>
      </w:hyperlink>
      <w:r>
        <w:t xml:space="preserve">)</w:t>
      </w:r>
      <w:r>
        <w:t xml:space="preserve">, so coordinators spend much of their time triaging reports</w:t>
      </w:r>
      <w:r>
        <w:t xml:space="preserve"> </w:t>
      </w:r>
      <w:r>
        <w:t xml:space="preserve">(</w:t>
      </w:r>
      <w:hyperlink w:anchor="_74920588d189e587f41aa48e3e3d0d9ee5bafa1">
        <w:r>
          <w:rPr>
            <w:rStyle w:val="Hyperlink"/>
          </w:rPr>
          <w:t xml:space="preserve">Borkowski and Kubrat 2026</w:t>
        </w:r>
      </w:hyperlink>
      <w:r>
        <w:t xml:space="preserve">;</w:t>
      </w:r>
      <w:r>
        <w:t xml:space="preserve"> </w:t>
      </w:r>
      <w:hyperlink w:anchor="_93968d1863045126ca7246346c9d38d50c77a45">
        <w:r>
          <w:rPr>
            <w:rStyle w:val="Hyperlink"/>
          </w:rPr>
          <w:t xml:space="preserve">Koo et al. 2026</w:t>
        </w:r>
      </w:hyperlink>
      <w:r>
        <w:t xml:space="preserve">)</w:t>
      </w:r>
      <w:r>
        <w:t xml:space="preserve">.</w:t>
      </w:r>
    </w:p>
    <w:p>
      <w:pPr>
        <w:pStyle w:val="BodyText"/>
      </w:pPr>
      <w:r>
        <w:t xml:space="preserve">Research has therefore concentrated on</w:t>
      </w:r>
      <w:r>
        <w:t xml:space="preserve"> </w:t>
      </w:r>
      <w:r>
        <w:rPr>
          <w:i/>
          <w:iCs/>
        </w:rPr>
        <w:t xml:space="preserve">relevance</w:t>
      </w:r>
      <w:r>
        <w:t xml:space="preserve">: learning from past coordination decisions which clashes a coordinator would discard</w:t>
      </w:r>
      <w:r>
        <w:t xml:space="preserve"> </w:t>
      </w:r>
      <w:r>
        <w:t xml:space="preserve">(</w:t>
      </w:r>
      <w:hyperlink w:anchor="_7304767673e69689413816cb84859bd2be474a3">
        <w:r>
          <w:rPr>
            <w:rStyle w:val="Hyperlink"/>
          </w:rPr>
          <w:t xml:space="preserve">Ailem and Boton 2026</w:t>
        </w:r>
      </w:hyperlink>
      <w:r>
        <w:t xml:space="preserve">;</w:t>
      </w:r>
      <w:r>
        <w:t xml:space="preserve"> </w:t>
      </w:r>
      <w:hyperlink w:anchor="_bcb3e6187df855698f5478690210076e621ae4f">
        <w:r>
          <w:rPr>
            <w:rStyle w:val="Hyperlink"/>
          </w:rPr>
          <w:t xml:space="preserve">Hu and Castro-Lacouture 2019</w:t>
        </w:r>
      </w:hyperlink>
      <w:r>
        <w:t xml:space="preserve">;</w:t>
      </w:r>
      <w:r>
        <w:t xml:space="preserve"> </w:t>
      </w:r>
      <w:hyperlink w:anchor="_93968d1863045126ca7246346c9d38d50c77a45">
        <w:r>
          <w:rPr>
            <w:rStyle w:val="Hyperlink"/>
          </w:rPr>
          <w:t xml:space="preserve">Koo et al. 2026</w:t>
        </w:r>
      </w:hyperlink>
      <w:r>
        <w:t xml:space="preserve">;</w:t>
      </w:r>
      <w:r>
        <w:t xml:space="preserve"> </w:t>
      </w:r>
      <w:hyperlink w:anchor="_9657f735728280ff8f3f6836cdef366d962b57b">
        <w:r>
          <w:rPr>
            <w:rStyle w:val="Hyperlink"/>
          </w:rPr>
          <w:t xml:space="preserve">Lin and Huang 2019</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Bitaraf et al. 2024</w:t>
        </w:r>
      </w:hyperlink>
      <w:r>
        <w:t xml:space="preserve">)</w:t>
      </w:r>
      <w:r>
        <w:t xml:space="preserve">. These approaches reproduce coordinator judgement but do not reason about what a clash does to the structure. A 100 mm pipe through the web of a girder near its support, or through a slab within the punching-shear perimeter of a column, can be far more serious than a larger duct that grazes a non-load-bearing element. Geometrically identical clashes can also differ in consequence, depending on how much of the building depends on the cut member, a property of the structure’s</w:t>
      </w:r>
      <w:r>
        <w:t xml:space="preserve"> </w:t>
      </w:r>
      <w:r>
        <w:rPr>
          <w:i/>
          <w:iCs/>
        </w:rPr>
        <w:t xml:space="preserve">load path</w:t>
      </w:r>
      <w:r>
        <w:t xml:space="preserve"> </w:t>
      </w:r>
      <w:r>
        <w:t xml:space="preserve">that no clash report represents. At the same time, coordination is moving toward</w:t>
      </w:r>
      <w:r>
        <w:t xml:space="preserve"> </w:t>
      </w:r>
      <w:r>
        <w:rPr>
          <w:i/>
          <w:iCs/>
        </w:rPr>
        <w:t xml:space="preserve">digital twins</w:t>
      </w:r>
      <w:r>
        <w:t xml:space="preserve">, virtual representations that are updated continuously as the design changes</w:t>
      </w:r>
      <w:r>
        <w:t xml:space="preserve"> </w:t>
      </w:r>
      <w:r>
        <w:t xml:space="preserve">(</w:t>
      </w:r>
      <w:hyperlink w:anchor="_a27a66ad21d549ee4ca693bf7f3758b6884c49a">
        <w:r>
          <w:rPr>
            <w:rStyle w:val="Hyperlink"/>
          </w:rPr>
          <w:t xml:space="preserve">Boje et al. 2020</w:t>
        </w:r>
      </w:hyperlink>
      <w:r>
        <w:t xml:space="preserve">;</w:t>
      </w:r>
      <w:r>
        <w:t xml:space="preserve"> </w:t>
      </w:r>
      <w:hyperlink w:anchor="_6c9cbe90a92aeeb1fb8ebdb61b9b42d82673916">
        <w:r>
          <w:rPr>
            <w:rStyle w:val="Hyperlink"/>
          </w:rPr>
          <w:t xml:space="preserve">Sacks et al. 2020</w:t>
        </w:r>
      </w:hyperlink>
      <w:r>
        <w:t xml:space="preserve">)</w:t>
      </w:r>
      <w:r>
        <w:t xml:space="preserve">, in which clash checking should be an incremental service rather than a periodic batch job.</w:t>
      </w:r>
    </w:p>
    <w:p>
      <w:pPr>
        <w:pStyle w:val="BodyText"/>
      </w:pPr>
      <w:r>
        <w:t xml:space="preserve">This paper presents a framework that (i) extracts structural and MEP elements, their geometry and their connectivity from Autodesk Revit through its application programming interface (API) using Python; (ii) detects clashes on exact meshes; (iii) builds a gravity load-path graph that gives, for every member, the load that depends on it and the load that has no alternative path; (iv) grades each clash by combining a code-informed local capacity loss with this load-path consequence; and (v) keeps the analysis synchronised with Revit as a digital twin that writes its results back. The contributions are:</w:t>
      </w:r>
    </w:p>
    <w:p>
      <w:pPr>
        <w:pStyle w:val="Compact"/>
        <w:numPr>
          <w:ilvl w:val="0"/>
          <w:numId w:val="1001"/>
        </w:numPr>
      </w:pPr>
      <w:r>
        <w:t xml:space="preserve">A gravity load-path graph built automatically from BIM geometry and Revit connectivity, with exact equilibrium and a dominator-tree measure of</w:t>
      </w:r>
      <w:r>
        <w:t xml:space="preserve"> </w:t>
      </w:r>
      <w:r>
        <w:rPr>
          <w:i/>
          <w:iCs/>
        </w:rPr>
        <w:t xml:space="preserve">orphaned load</w:t>
      </w:r>
      <w:r>
        <w:t xml:space="preserve">, a graph analogue of the alternate-load-path concept of progressive-collapse design</w:t>
      </w:r>
      <w:r>
        <w:t xml:space="preserve"> </w:t>
      </w:r>
      <w:r>
        <w:t xml:space="preserve">(</w:t>
      </w:r>
      <w:hyperlink w:anchor="_725b849b7058aa2c6daa0a62e58df19f4b6ffb1">
        <w:r>
          <w:rPr>
            <w:rStyle w:val="Hyperlink"/>
          </w:rPr>
          <w:t xml:space="preserve">Starossek and Haberland 2010</w:t>
        </w:r>
      </w:hyperlink>
      <w:r>
        <w:t xml:space="preserve">;</w:t>
      </w:r>
      <w:r>
        <w:t xml:space="preserve"> </w:t>
      </w:r>
      <w:hyperlink w:anchor="_06e5951872820aa0f41fe13dcb89ffb864de2dd">
        <w:r>
          <w:rPr>
            <w:rStyle w:val="Hyperlink"/>
          </w:rPr>
          <w:t xml:space="preserve">U.S. Department of Defense 2016</w:t>
        </w:r>
      </w:hyperlink>
      <w:r>
        <w:t xml:space="preserve">)</w:t>
      </w:r>
      <w:r>
        <w:t xml:space="preserve">.</w:t>
      </w:r>
    </w:p>
    <w:p>
      <w:pPr>
        <w:pStyle w:val="Compact"/>
        <w:numPr>
          <w:ilvl w:val="0"/>
          <w:numId w:val="1001"/>
        </w:numPr>
      </w:pPr>
      <w:r>
        <w:t xml:space="preserve">A two-axis severity model that combines a member-specific, code-informed capacity loss index</w:t>
      </w:r>
      <w:r>
        <w:t xml:space="preserve"> </w:t>
      </w:r>
      <w:r>
        <w:t xml:space="preserve">(</w:t>
      </w:r>
      <w:hyperlink w:anchor="_a0a45fa49c0c13b82b94c6955ca0eec66f6d1df">
        <w:r>
          <w:rPr>
            <w:rStyle w:val="Hyperlink"/>
          </w:rPr>
          <w:t xml:space="preserve">ACI Committee 318 2019</w:t>
        </w:r>
      </w:hyperlink>
      <w:r>
        <w:t xml:space="preserve">;</w:t>
      </w:r>
      <w:r>
        <w:t xml:space="preserve"> </w:t>
      </w:r>
      <w:hyperlink w:anchor="_3fd180c218df11ad837b279d4feeebf3c04c7a8">
        <w:r>
          <w:rPr>
            <w:rStyle w:val="Hyperlink"/>
          </w:rPr>
          <w:t xml:space="preserve">Darwin 1990</w:t>
        </w:r>
      </w:hyperlink>
      <w:r>
        <w:t xml:space="preserve">)</w:t>
      </w:r>
      <w:r>
        <w:t xml:space="preserve"> </w:t>
      </w:r>
      <w:r>
        <w:t xml:space="preserve">with a load-path consequence expressed in bay-equivalents.</w:t>
      </w:r>
    </w:p>
    <w:p>
      <w:pPr>
        <w:pStyle w:val="Compact"/>
        <w:numPr>
          <w:ilvl w:val="0"/>
          <w:numId w:val="1001"/>
        </w:numPr>
      </w:pPr>
      <w:r>
        <w:t xml:space="preserve">Incremental digital-twin updates of clashes, load path and severity that are identical to a full recomputation, closed through a Revit change hook and a write-back command.</w:t>
      </w:r>
    </w:p>
    <w:p>
      <w:pPr>
        <w:pStyle w:val="Compact"/>
        <w:numPr>
          <w:ilvl w:val="0"/>
          <w:numId w:val="1001"/>
        </w:numPr>
      </w:pPr>
      <w:r>
        <w:t xml:space="preserve">An open evaluation on two federated Revit models of different structural systems, including a held-out test that exposed, and led to correcting, two rules that silently assumed a particular structural system.</w:t>
      </w:r>
    </w:p>
    <w:p>
      <w:pPr>
        <w:pStyle w:val="Heading1"/>
      </w:pPr>
      <w:bookmarkStart w:id="11" w:name="_c402fc6a47ec8bb5e751ab4b29e0fc7601a51bb"/>
      <w:r>
        <w:t xml:space="preserve">Related work</w:t>
      </w:r>
      <w:bookmarkEnd w:id="11"/>
    </w:p>
    <w:p>
      <w:pPr>
        <w:pStyle w:val="Heading2"/>
      </w:pPr>
      <w:bookmarkStart w:id="12" w:name="_82c6959c724d406156ebbbce9a7a978479d680a"/>
      <w:r>
        <w:t xml:space="preserve">Clash detection and relevance filtering</w:t>
      </w:r>
      <w:bookmarkEnd w:id="12"/>
    </w:p>
    <w:p>
      <w:pPr>
        <w:pStyle w:val="FirstParagraph"/>
      </w:pPr>
      <w:r>
        <w:t xml:space="preserve">Clash engines compare element geometry pairwise after a spatial pre-selection, for example with an R-tree</w:t>
      </w:r>
      <w:r>
        <w:t xml:space="preserve"> </w:t>
      </w:r>
      <w:r>
        <w:t xml:space="preserve">(</w:t>
      </w:r>
      <w:hyperlink w:anchor="_7dc52f09005060e74a2fefac7f40b3aaeceeb80">
        <w:r>
          <w:rPr>
            <w:rStyle w:val="Hyperlink"/>
          </w:rPr>
          <w:t xml:space="preserve">Guttman 1984</w:t>
        </w:r>
      </w:hyperlink>
      <w:r>
        <w:t xml:space="preserve">)</w:t>
      </w:r>
      <w:r>
        <w:t xml:space="preserve">, and libraries such as FCL provide collision and distance queries on triangle meshes</w:t>
      </w:r>
      <w:r>
        <w:t xml:space="preserve"> </w:t>
      </w:r>
      <w:r>
        <w:t xml:space="preserve">(</w:t>
      </w:r>
      <w:hyperlink w:anchor="_fb3fd29184e1f6192b542d21235915d50f8fba1">
        <w:r>
          <w:rPr>
            <w:rStyle w:val="Hyperlink"/>
          </w:rPr>
          <w:t xml:space="preserve">Pan et al. 2012</w:t>
        </w:r>
      </w:hyperlink>
      <w:r>
        <w:t xml:space="preserve">)</w:t>
      </w:r>
      <w:r>
        <w:t xml:space="preserve">; the bottleneck is interpretation rather than computation. Hu and Castro-Lacouture classified clashes as relevant or irrelevant from attributes of the clashing components</w:t>
      </w:r>
      <w:r>
        <w:t xml:space="preserve"> </w:t>
      </w:r>
      <w:r>
        <w:t xml:space="preserve">(</w:t>
      </w:r>
      <w:hyperlink w:anchor="_bcb3e6187df855698f5478690210076e621ae4f">
        <w:r>
          <w:rPr>
            <w:rStyle w:val="Hyperlink"/>
          </w:rPr>
          <w:t xml:space="preserve">Hu and Castro-Lacouture 2019</w:t>
        </w:r>
      </w:hyperlink>
      <w:r>
        <w:t xml:space="preserve">)</w:t>
      </w:r>
      <w:r>
        <w:t xml:space="preserve"> </w:t>
      </w:r>
      <w:r>
        <w:t xml:space="preserve">and later exploited dependencies between components and between clashes</w:t>
      </w:r>
      <w:r>
        <w:t xml:space="preserve"> </w:t>
      </w:r>
      <w:r>
        <w:t xml:space="preserve">(</w:t>
      </w:r>
      <w:hyperlink w:anchor="_7a16f1d8cb96f9d52ac115dc59ed134d29f1ea5">
        <w:r>
          <w:rPr>
            <w:rStyle w:val="Hyperlink"/>
          </w:rPr>
          <w:t xml:space="preserve">Hu et al. 2019</w:t>
        </w:r>
      </w:hyperlink>
      <w:r>
        <w:t xml:space="preserve">)</w:t>
      </w:r>
      <w:r>
        <w:t xml:space="preserve">. Lin and Huang combined expert rules with supervised learning</w:t>
      </w:r>
      <w:r>
        <w:t xml:space="preserve"> </w:t>
      </w:r>
      <w:r>
        <w:t xml:space="preserve">(</w:t>
      </w:r>
      <w:hyperlink w:anchor="_9657f735728280ff8f3f6836cdef366d962b57b">
        <w:r>
          <w:rPr>
            <w:rStyle w:val="Hyperlink"/>
          </w:rPr>
          <w:t xml:space="preserve">Lin and Huang 2019</w:t>
        </w:r>
      </w:hyperlink>
      <w:r>
        <w:t xml:space="preserve">)</w:t>
      </w:r>
      <w:r>
        <w:t xml:space="preserve">. More recent work packages relevance filtering as a BIM plug-in</w:t>
      </w:r>
      <w:r>
        <w:t xml:space="preserve"> </w:t>
      </w:r>
      <w:r>
        <w:t xml:space="preserve">(</w:t>
      </w:r>
      <w:hyperlink w:anchor="_7304767673e69689413816cb84859bd2be474a3">
        <w:r>
          <w:rPr>
            <w:rStyle w:val="Hyperlink"/>
          </w:rPr>
          <w:t xml:space="preserve">Ailem and Boton 2026</w:t>
        </w:r>
      </w:hyperlink>
      <w:r>
        <w:t xml:space="preserve">)</w:t>
      </w:r>
      <w:r>
        <w:t xml:space="preserve">, aligns risk and relevance analysis with coordination practice</w:t>
      </w:r>
      <w:r>
        <w:t xml:space="preserve"> </w:t>
      </w:r>
      <w:r>
        <w:t xml:space="preserve">(</w:t>
      </w:r>
      <w:hyperlink w:anchor="_93968d1863045126ca7246346c9d38d50c77a45">
        <w:r>
          <w:rPr>
            <w:rStyle w:val="Hyperlink"/>
          </w:rPr>
          <w:t xml:space="preserve">Koo et al. 2026</w:t>
        </w:r>
      </w:hyperlink>
      <w:r>
        <w:t xml:space="preserve">)</w:t>
      </w:r>
      <w:r>
        <w:t xml:space="preserve">, proposes AI-based triage that groups recurring clashes</w:t>
      </w:r>
      <w:r>
        <w:t xml:space="preserve"> </w:t>
      </w:r>
      <w:r>
        <w:t xml:space="preserve">(</w:t>
      </w:r>
      <w:hyperlink w:anchor="_74920588d189e587f41aa48e3e3d0d9ee5bafa1">
        <w:r>
          <w:rPr>
            <w:rStyle w:val="Hyperlink"/>
          </w:rPr>
          <w:t xml:space="preserve">Borkowski and Kubrat 2026</w:t>
        </w:r>
      </w:hyperlink>
      <w:r>
        <w:t xml:space="preserve">)</w:t>
      </w:r>
      <w:r>
        <w:t xml:space="preserve">, and prioritises structure–MEP hard clashes with expert-weighted criteria</w:t>
      </w:r>
      <w:r>
        <w:t xml:space="preserve"> </w:t>
      </w:r>
      <w:r>
        <w:t xml:space="preserve">(</w:t>
      </w:r>
      <w:hyperlink w:anchor="_6f6548ae06c2811483e3ad89ba771a65205faca">
        <w:r>
          <w:rPr>
            <w:rStyle w:val="Hyperlink"/>
          </w:rPr>
          <w:t xml:space="preserve">Bitaraf et al. 2024</w:t>
        </w:r>
      </w:hyperlink>
      <w:r>
        <w:t xml:space="preserve">)</w:t>
      </w:r>
      <w:r>
        <w:t xml:space="preserve">. In all of these, severity or relevance is inferred from element attributes or learned from past decisions, and the structural role of the member is at most a categorical feature. None of them, to the authors’ knowledge, evaluates how much capacity a penetration removes where it occurs, or how much of the building depends on the member.</w:t>
      </w:r>
    </w:p>
    <w:p>
      <w:pPr>
        <w:pStyle w:val="Heading2"/>
      </w:pPr>
      <w:bookmarkStart w:id="13" w:name="_3b3bcab7d5de926c0aedc3022bb90d5c7fd41d5"/>
      <w:r>
        <w:t xml:space="preserve">Structural knowledge, load paths and digital twins</w:t>
      </w:r>
      <w:bookmarkEnd w:id="13"/>
    </w:p>
    <w:p>
      <w:pPr>
        <w:pStyle w:val="FirstParagraph"/>
      </w:pPr>
      <w:r>
        <w:t xml:space="preserve">Automated rule checking executes code requirements on BIM data</w:t>
      </w:r>
      <w:r>
        <w:t xml:space="preserve"> </w:t>
      </w:r>
      <w:r>
        <w:t xml:space="preserve">(</w:t>
      </w:r>
      <w:hyperlink w:anchor="_611a09f4bca5c45893d42075e9adc7f0eff85ce">
        <w:r>
          <w:rPr>
            <w:rStyle w:val="Hyperlink"/>
          </w:rPr>
          <w:t xml:space="preserve">Eastman et al. 2009</w:t>
        </w:r>
      </w:hyperlink>
      <w:r>
        <w:t xml:space="preserve">;</w:t>
      </w:r>
      <w:r>
        <w:t xml:space="preserve"> </w:t>
      </w:r>
      <w:hyperlink w:anchor="_0a3848646ff61d9bc82751375ce6c01a7c58e7d">
        <w:r>
          <w:rPr>
            <w:rStyle w:val="Hyperlink"/>
          </w:rPr>
          <w:t xml:space="preserve">Solihin and Eastman 2015</w:t>
        </w:r>
      </w:hyperlink>
      <w:r>
        <w:t xml:space="preserve">)</w:t>
      </w:r>
      <w:r>
        <w:t xml:space="preserve">. Design codes contain explicit provisions for penetrations: ACI 318 limits slab openings by their position relative to column and middle strips, reduces the punching-shear perimeter for openings near columns and limits embedded conduits</w:t>
      </w:r>
      <w:r>
        <w:t xml:space="preserve"> </w:t>
      </w:r>
      <w:r>
        <w:t xml:space="preserve">(</w:t>
      </w:r>
      <w:hyperlink w:anchor="_a0a45fa49c0c13b82b94c6955ca0eec66f6d1df">
        <w:r>
          <w:rPr>
            <w:rStyle w:val="Hyperlink"/>
          </w:rPr>
          <w:t xml:space="preserve">ACI Committee 318 2019</w:t>
        </w:r>
      </w:hyperlink>
      <w:r>
        <w:t xml:space="preserve">)</w:t>
      </w:r>
      <w:r>
        <w:t xml:space="preserve">; steel design guidance limits web openings by depth and location</w:t>
      </w:r>
      <w:r>
        <w:t xml:space="preserve"> </w:t>
      </w:r>
      <w:r>
        <w:t xml:space="preserve">(</w:t>
      </w:r>
      <w:hyperlink w:anchor="_3fd180c218df11ad837b279d4feeebf3c04c7a8">
        <w:r>
          <w:rPr>
            <w:rStyle w:val="Hyperlink"/>
          </w:rPr>
          <w:t xml:space="preserve">Darwin 1990</w:t>
        </w:r>
      </w:hyperlink>
      <w:r>
        <w:t xml:space="preserve">)</w:t>
      </w:r>
      <w:r>
        <w:t xml:space="preserve">; and tests show that the effect of web openings in concrete beams depends on their size and position</w:t>
      </w:r>
      <w:r>
        <w:t xml:space="preserve"> </w:t>
      </w:r>
      <w:r>
        <w:t xml:space="preserve">(</w:t>
      </w:r>
      <w:hyperlink w:anchor="_32f7d1420d0bdfaa9e57092a859aa66a5983a25">
        <w:r>
          <w:rPr>
            <w:rStyle w:val="Hyperlink"/>
          </w:rPr>
          <w:t xml:space="preserve">Ahmed et al. 2012</w:t>
        </w:r>
      </w:hyperlink>
      <w:r>
        <w:t xml:space="preserve">)</w:t>
      </w:r>
      <w:r>
        <w:t xml:space="preserve">. These provisions have not been used to grade clashes automatically. Robustness, the insensitivity of a structure to local damage, depends on alternative load paths</w:t>
      </w:r>
      <w:r>
        <w:t xml:space="preserve"> </w:t>
      </w:r>
      <w:r>
        <w:t xml:space="preserve">(</w:t>
      </w:r>
      <w:hyperlink w:anchor="_725b849b7058aa2c6daa0a62e58df19f4b6ffb1">
        <w:r>
          <w:rPr>
            <w:rStyle w:val="Hyperlink"/>
          </w:rPr>
          <w:t xml:space="preserve">Starossek and Haberland 2010</w:t>
        </w:r>
      </w:hyperlink>
      <w:r>
        <w:t xml:space="preserve">)</w:t>
      </w:r>
      <w:r>
        <w:t xml:space="preserve">, which the alternate-path method of progressive-collapse design checks by notional member removal</w:t>
      </w:r>
      <w:r>
        <w:t xml:space="preserve"> </w:t>
      </w:r>
      <w:r>
        <w:t xml:space="preserve">(</w:t>
      </w:r>
      <w:hyperlink w:anchor="_06e5951872820aa0f41fe13dcb89ffb864de2dd">
        <w:r>
          <w:rPr>
            <w:rStyle w:val="Hyperlink"/>
          </w:rPr>
          <w:t xml:space="preserve">U.S. Department of Defense 2016</w:t>
        </w:r>
      </w:hyperlink>
      <w:r>
        <w:t xml:space="preserve">)</w:t>
      </w:r>
      <w:r>
        <w:t xml:space="preserve">. In graph terms, a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Lengauer and Tarjan 1979</w:t>
        </w:r>
      </w:hyperlink>
      <w:r>
        <w:t xml:space="preserve">)</w:t>
      </w:r>
      <w:r>
        <w:t xml:space="preserve">, which answers directly whose failure leaves a load with no other path to the ground. Finally, a digital twin couples a virtual model and its counterpart automatically in both directions</w:t>
      </w:r>
      <w:r>
        <w:t xml:space="preserve"> </w:t>
      </w:r>
      <w:r>
        <w:t xml:space="preserve">(</w:t>
      </w:r>
      <w:hyperlink w:anchor="_9a2b4e75efdb3e2848fae6b0050102afc345cd1">
        <w:r>
          <w:rPr>
            <w:rStyle w:val="Hyperlink"/>
          </w:rPr>
          <w:t xml:space="preserve">Kritzinger et al. 2018</w:t>
        </w:r>
      </w:hyperlink>
      <w:r>
        <w:t xml:space="preserve">)</w:t>
      </w:r>
      <w:r>
        <w:t xml:space="preserve">. Construction digital twins aim at closed control loops between design and execution</w:t>
      </w:r>
      <w:r>
        <w:t xml:space="preserve"> </w:t>
      </w:r>
      <w:r>
        <w:t xml:space="preserve">(</w:t>
      </w:r>
      <w:hyperlink w:anchor="_a27a66ad21d549ee4ca693bf7f3758b6884c49a">
        <w:r>
          <w:rPr>
            <w:rStyle w:val="Hyperlink"/>
          </w:rPr>
          <w:t xml:space="preserve">Boje et al. 2020</w:t>
        </w:r>
      </w:hyperlink>
      <w:r>
        <w:t xml:space="preserve">;</w:t>
      </w:r>
      <w:r>
        <w:t xml:space="preserve"> </w:t>
      </w:r>
      <w:hyperlink w:anchor="_6c9cbe90a92aeeb1fb8ebdb61b9b42d82673916">
        <w:r>
          <w:rPr>
            <w:rStyle w:val="Hyperlink"/>
          </w:rPr>
          <w:t xml:space="preserve">Sacks et al. 2020</w:t>
        </w:r>
      </w:hyperlink>
      <w:r>
        <w:t xml:space="preserve">)</w:t>
      </w:r>
      <w:r>
        <w:t xml:space="preserve">, but design coordination is still run on exported snapshots whose results are not fed back into the authoring model.</w:t>
      </w:r>
    </w:p>
    <w:p>
      <w:pPr>
        <w:pStyle w:val="Heading2"/>
      </w:pPr>
      <w:bookmarkStart w:id="14" w:name="_c22737236ce04e8b44de44cf78836991e3110a3"/>
      <w:r>
        <w:t xml:space="preserve">Research gap</w:t>
      </w:r>
      <w:bookmarkEnd w:id="14"/>
    </w:p>
    <w:p>
      <w:pPr>
        <w:pStyle w:val="FirstParagraph"/>
      </w:pPr>
      <w:r>
        <w:t xml:space="preserve">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authoring model and kept up to date as the model changes. This study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5" w:name="_framework"/>
      <w:r>
        <w:t xml:space="preserve">Framework</w:t>
      </w:r>
      <w:bookmarkEnd w:id="15"/>
    </w:p>
    <w:p>
      <w:pPr>
        <w:pStyle w:val="Heading2"/>
      </w:pPr>
      <w:bookmarkStart w:id="16" w:name="_overview"/>
      <w:r>
        <w:t xml:space="preserve">Overview</w:t>
      </w:r>
      <w:bookmarkEnd w:id="16"/>
    </w:p>
    <w:p>
      <w:pPr>
        <w:pStyle w:val="FirstParagraph"/>
      </w:pPr>
      <w:r>
        <w:t xml:space="preserve">Fig. 1 shows the architecture. A pyRevit extension inside Revit extracts structural and MEP elements from the host model and its links. A Python service detects clashes, builds the load-path graph and classifies severity, and a digital-twin layer keeps it synchronised with Revit through change events and writes results back. The two sides exchange JSON files through an inbox and an outbox, so the analysis runs in standard CPython, independent of Revit’s embedded interpreter.</w:t>
      </w:r>
    </w:p>
    <w:bookmarkStart w:id="20" w:name="_644ac651aae1a35a2ea198171fcf1adf31b83c2"/>
    <w:p>
      <w:pPr>
        <w:pStyle w:val="CaptionedFigure"/>
      </w:pPr>
      <w:r>
        <w:drawing>
          <wp:inline>
            <wp:extent cx="5177790" cy="2525751"/>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18" name="Picture"/>
            <a:graphic>
              <a:graphicData uri="http://schemas.openxmlformats.org/drawingml/2006/picture">
                <pic:pic>
                  <pic:nvPicPr>
                    <pic:cNvPr descr="figures/fig1_architecture.png" id="19" name="Picture"/>
                    <pic:cNvPicPr>
                      <a:picLocks noChangeArrowheads="1" noChangeAspect="1"/>
                    </pic:cNvPicPr>
                  </pic:nvPicPr>
                  <pic:blipFill>
                    <a:blip r:embed="rId17"/>
                    <a:stretch>
                      <a:fillRect/>
                    </a:stretch>
                  </pic:blipFill>
                  <pic:spPr bwMode="auto">
                    <a:xfrm>
                      <a:off x="0" y="0"/>
                      <a:ext cx="5177790" cy="2525751"/>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0"/>
    <w:p>
      <w:pPr>
        <w:pStyle w:val="Heading2"/>
      </w:pPr>
      <w:bookmarkStart w:id="21" w:name="_2de686e1e936a783dd55871f8e71376ed5f4837"/>
      <w:r>
        <w:t xml:space="preserve">Data extraction through the Revit API</w:t>
      </w:r>
      <w:bookmarkEnd w:id="21"/>
    </w:p>
    <w:p>
      <w:pPr>
        <w:pStyle w:val="FirstParagraph"/>
      </w:pPr>
      <w:r>
        <w:t xml:space="preserve">Structural elements are taken from the</w:t>
      </w:r>
      <w:r>
        <w:t xml:space="preserve"> </w:t>
      </w:r>
      <w:r>
        <w:rPr>
          <w:i/>
          <w:iCs/>
        </w:rPr>
        <w:t xml:space="preserve">Structural Columns</w:t>
      </w:r>
      <w:r>
        <w:t xml:space="preserve">,</w:t>
      </w:r>
      <w:r>
        <w:t xml:space="preserve"> </w:t>
      </w:r>
      <w:r>
        <w:rPr>
          <w:i/>
          <w:iCs/>
        </w:rPr>
        <w:t xml:space="preserve">Structural Framing</w:t>
      </w:r>
      <w:r>
        <w:t xml:space="preserve"> </w:t>
      </w:r>
      <w:r>
        <w:t xml:space="preserve">and</w:t>
      </w:r>
      <w:r>
        <w:t xml:space="preserve"> </w:t>
      </w:r>
      <w:r>
        <w:rPr>
          <w:i/>
          <w:iCs/>
        </w:rPr>
        <w:t xml:space="preserve">Structural Foundations</w:t>
      </w:r>
      <w:r>
        <w:t xml:space="preserve"> </w:t>
      </w:r>
      <w:r>
        <w:t xml:space="preserve">categories and from floors and walls flagged as structural, by default from the host (structural) model only. MEP elements are ducts, pipes, cable trays, conduits, their fittings and accessories, mechanical equipment and sprinklers in the host and all loaded links. The fine-detail solids of each element are tessellated (</w:t>
      </w:r>
      <w:r>
        <w:rPr>
          <w:rStyle w:val="VerbatimChar"/>
        </w:rPr>
        <w:t xml:space="preserve">SolidUtils.TessellateSolidOrShell</w:t>
      </w:r>
      <w:r>
        <w:t xml:space="preserve">), transformed into host coordinates and converted to metres, giving closed meshes that support exact Booleans. The extractor also records type, level, location curve, material, section and MEP size parameters, and two kinds of connectivity for structural members: elements joined at framing ends (</w:t>
      </w:r>
      <w:r>
        <w:rPr>
          <w:rStyle w:val="VerbatimChar"/>
        </w:rPr>
        <w:t xml:space="preserve">LocationCurve.ElementsAtJoin</w:t>
      </w:r>
      <w:r>
        <w:t xml:space="preserve">) and geometry joins (</w:t>
      </w:r>
      <w:r>
        <w:rPr>
          <w:rStyle w:val="VerbatimChar"/>
        </w:rPr>
        <w:t xml:space="preserve">JoinGeometryUtils</w:t>
      </w:r>
      <w:r>
        <w:t xml:space="preserve">). As an independent reference for detection accuracy, it asks Revit which MEP elements intersect each structural solid, using</w:t>
      </w:r>
      <w:r>
        <w:t xml:space="preserve"> </w:t>
      </w:r>
      <w:r>
        <w:rPr>
          <w:rStyle w:val="VerbatimChar"/>
        </w:rPr>
        <w:t xml:space="preserve">ElementIntersectsSolidFilter</w:t>
      </w:r>
      <w:r>
        <w:t xml:space="preserve">.</w:t>
      </w:r>
    </w:p>
    <w:p>
      <w:pPr>
        <w:pStyle w:val="Heading2"/>
      </w:pPr>
      <w:bookmarkStart w:id="22" w:name="_e773d8958c953b6846f05a227ccd08580a8d6ff"/>
      <w:r>
        <w:t xml:space="preserve">Clash detection</w:t>
      </w:r>
      <w:bookmarkEnd w:id="22"/>
    </w:p>
    <w:p>
      <w:pPr>
        <w:pStyle w:val="FirstParagraph"/>
      </w:pPr>
      <w:r>
        <w:t xml:space="preserve">A clash is a pair</w:t>
      </w:r>
      <w:r>
        <w:t xml:space="preserve"> </w:t>
      </w:r>
      <m:oMath>
        <m:r>
          <m:rPr>
            <m:sty m:val="p"/>
          </m:rPr>
          <m:t>(</m:t>
        </m:r>
        <m:r>
          <m:t>s</m:t>
        </m:r>
        <m:r>
          <m:rPr>
            <m:sty m:val="p"/>
          </m:rPr>
          <m:t>,</m:t>
        </m:r>
        <m:r>
          <m:t>m</m:t>
        </m:r>
        <m:r>
          <m:rPr>
            <m:sty m:val="p"/>
          </m:rPr>
          <m:t>)</m:t>
        </m:r>
      </m:oMath>
      <w:r>
        <w:t xml:space="preserve"> </w:t>
      </w:r>
      <w:r>
        <w:t xml:space="preserve">of a structural element</w:t>
      </w:r>
      <w:r>
        <w:t xml:space="preserve"> </w:t>
      </w:r>
      <m:oMath>
        <m:r>
          <m:t>s</m:t>
        </m:r>
        <m:r>
          <m:rPr>
            <m:sty m:val="p"/>
          </m:rPr>
          <m:t>∈</m:t>
        </m:r>
        <m:r>
          <m:rPr>
            <m:scr m:val="script"/>
            <m:sty m:val="p"/>
          </m:rPr>
          <m:t>S</m:t>
        </m:r>
      </m:oMath>
      <w:r>
        <w:t xml:space="preserve"> </w:t>
      </w:r>
      <w:r>
        <w:t xml:space="preserve">and an MEP element</w:t>
      </w:r>
      <w:r>
        <w:t xml:space="preserve"> </w:t>
      </w:r>
      <m:oMath>
        <m:r>
          <m:t>m</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In the broad phase, inflated MEP bounding boxes are inserted into an R-tree</w:t>
      </w:r>
      <w:r>
        <w:t xml:space="preserve"> </w:t>
      </w:r>
      <w:r>
        <w:t xml:space="preserve">(</w:t>
      </w:r>
      <w:hyperlink w:anchor="_7dc52f09005060e74a2fefac7f40b3aaeceeb80">
        <w:r>
          <w:rPr>
            <w:rStyle w:val="Hyperlink"/>
          </w:rPr>
          <w:t xml:space="preserve">Guttman 1984</w:t>
        </w:r>
      </w:hyperlink>
      <w:r>
        <w:t xml:space="preserve">)</w:t>
      </w:r>
      <w:r>
        <w:t xml:space="preserve"> </w:t>
      </w:r>
      <w:r>
        <w:t xml:space="preserve">and queried with each structural box; a vectorised brute-force test over all pairs serves as baseline and correctness check. In the narrow phase, candidates are tested with FCL collision on the meshes</w:t>
      </w:r>
      <w:r>
        <w:t xml:space="preserve"> </w:t>
      </w:r>
      <w:r>
        <w:t xml:space="preserve">(</w:t>
      </w:r>
      <w:hyperlink w:anchor="_fb3fd29184e1f6192b542d21235915d50f8fba1">
        <w:r>
          <w:rPr>
            <w:rStyle w:val="Hyperlink"/>
          </w:rPr>
          <w:t xml:space="preserve">Pan et al. 2012</w:t>
        </w:r>
      </w:hyperlink>
      <w:r>
        <w:t xml:space="preserve">)</w:t>
      </w:r>
      <w:r>
        <w:t xml:space="preserve">. Because surface tests cannot see an element embedded entirely within another, a deterministic ray-parity test along three fixed directions also checks containment. Colliding or contained pairs are intersected with a robust mesh Boolean (Manifold), component by component for multi-solid families such as open-web joists; open components of detailed equipment families are replaced by their convex hulls. A pair is a</w:t>
      </w:r>
      <w:r>
        <w:t xml:space="preserve"> </w:t>
      </w:r>
      <w:r>
        <w:rPr>
          <w:i/>
          <w:iCs/>
        </w:rPr>
        <w:t xml:space="preserve">hard</w:t>
      </w:r>
      <w:r>
        <w:t xml:space="preserve"> </w:t>
      </w:r>
      <w:r>
        <w:t xml:space="preserve">clash if the intersection volume exceeds 1 cm³ and a</w:t>
      </w:r>
      <w:r>
        <w:t xml:space="preserve"> </w:t>
      </w:r>
      <w:r>
        <w:rPr>
          <w:i/>
          <w:iCs/>
        </w:rPr>
        <w:t xml:space="preserve">touch</w:t>
      </w:r>
      <w:r>
        <w:t xml:space="preserve"> </w:t>
      </w:r>
      <w:r>
        <w:t xml:space="preserve">otherwise; non-colliding pairs within</w:t>
      </w:r>
      <w:r>
        <w:t xml:space="preserve"> </w:t>
      </w:r>
      <m:oMath>
        <m:r>
          <m:t>c</m:t>
        </m:r>
      </m:oMath>
      <w:r>
        <w:t xml:space="preserve"> </w:t>
      </w:r>
      <w:r>
        <w:t xml:space="preserve">are</w:t>
      </w:r>
      <w:r>
        <w:t xml:space="preserve"> </w:t>
      </w:r>
      <w:r>
        <w:rPr>
          <w:i/>
          <w:iCs/>
        </w:rPr>
        <w:t xml:space="preserve">clearance</w:t>
      </w:r>
      <w:r>
        <w:t xml:space="preserve"> </w:t>
      </w:r>
      <w:r>
        <w:t xml:space="preserve">clashes. Each structural member has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 with</w:t>
      </w:r>
      <w:r>
        <w:t xml:space="preserve"> </w:t>
      </w:r>
      <m:oMath>
        <m:r>
          <m:rPr>
            <m:sty m:val="bi"/>
          </m:rPr>
          <m:t>u</m:t>
        </m:r>
      </m:oMath>
      <w:r>
        <w:t xml:space="preserve"> </w:t>
      </w:r>
      <w:r>
        <w:t xml:space="preserve">along its axis and</w:t>
      </w:r>
      <w:r>
        <w:t xml:space="preserve"> </w:t>
      </w:r>
      <m:oMath>
        <m:r>
          <m:rPr>
            <m:sty m:val="bi"/>
          </m:rPr>
          <m:t>w</m:t>
        </m:r>
      </m:oMath>
      <w:r>
        <w:t xml:space="preserve"> </w:t>
      </w:r>
      <w:r>
        <w:t xml:space="preserve">vertical for horizontal members, and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independent of family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position 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w:t>
      </w:r>
    </w:p>
    <w:p>
      <w:pPr>
        <w:pStyle w:val="Heading2"/>
      </w:pPr>
      <w:bookmarkStart w:id="23" w:name="_491e91c18bfb54ad924edabba9dedf67e2d4787"/>
      <w:r>
        <w:t xml:space="preserve">Gravity load-path graph</w:t>
      </w:r>
      <w:bookmarkEnd w:id="23"/>
    </w:p>
    <w:p>
      <w:pPr>
        <w:pStyle w:val="FirstParagraph"/>
      </w:pPr>
      <w:r>
        <w:t xml:space="preserve">The graph has one node per structural member and a ground node</w:t>
      </w:r>
      <w:r>
        <w:t xml:space="preserve"> </w:t>
      </w:r>
      <m:oMath>
        <m:r>
          <m:rPr>
            <m:sty m:val="p"/>
          </m:rPr>
          <m:t>Γ</m:t>
        </m:r>
      </m:oMath>
      <w:r>
        <w:t xml:space="preserve">; an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Candidate support relations come from physical contact (mesh distance of at most 50 mm), Revit joins, and member-end proximity, where a beam or brace end lies within 150 mm of another member, as in centre-line analytical models. The last source is needed because steel members are often cut back at connections. Each contact is oriented, or discarded, by the rules in Table 1, which encode the hierarchy slab → beam → girder → column/wall → foundation → ground. For a beam and a column or wall, the decisive question is whether the vertical member continues below the beam (the beam frames into it) or starts within or above the beam (it stands on the beam), which is insensitive to timber tenons sinking into sill beams. Braces belong to the lateral system and never act as supports, and columns and walls separated only by a slab are stacked directly. Foundations connect to</w:t>
      </w:r>
      <w:r>
        <w:t xml:space="preserve"> </w:t>
      </w:r>
      <m:oMath>
        <m:r>
          <m:rPr>
            <m:sty m:val="p"/>
          </m:rPr>
          <m:t>Γ</m:t>
        </m:r>
      </m:oMath>
      <w:r>
        <w:t xml:space="preserve">, cycles are broken by removing the edge that most violates the hierarchy, and members without a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4"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stub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4"/>
    <w:p>
      <w:pPr>
        <w:pStyle w:val="FirstParagraph"/>
      </w:pPr>
      <w:r>
        <w:rPr>
          <w:b/>
          <w:bCs/>
        </w:rPr>
        <w:t xml:space="preserve">Loads.</w:t>
      </w:r>
      <w:r>
        <w:t xml:space="preserve"> </w:t>
      </w:r>
      <w:r>
        <w:t xml:space="preserve">Each member carries its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t>
      </w:r>
      <w:r>
        <w:t xml:space="preserve">(</w:t>
      </w:r>
      <m:oMath>
        <m:r>
          <m:t>γ</m:t>
        </m:r>
      </m:oMath>
      <w:r>
        <w:t xml:space="preserve"> </w:t>
      </w:r>
      <w:r>
        <w:t xml:space="preserve">= 24 kN/m³ for concrete, 77 kN/m³ for steel); slabs also carry superimposed dead and live loads of 1.5 and 2.4 kPa</w:t>
      </w:r>
      <w:r>
        <w:t xml:space="preserve"> </w:t>
      </w:r>
      <w:r>
        <w:t xml:space="preserve">(</w:t>
      </w:r>
      <w:hyperlink w:anchor="_dc5878af5290816ea0fa94a2c9eba35c6f6822e">
        <w:r>
          <w:rPr>
            <w:rStyle w:val="Hyperlink"/>
          </w:rPr>
          <w:t xml:space="preserve">American Society of Civil Engineers 2022</w:t>
        </w:r>
      </w:hyperlink>
      <w:r>
        <w:t xml:space="preserve">)</w:t>
      </w:r>
      <w:r>
        <w:t xml:space="preserve"> </w:t>
      </w:r>
      <w:r>
        <w:t xml:space="preserve">combined as</w:t>
      </w:r>
      <w:r>
        <w:t xml:space="preserve"> </w:t>
      </w:r>
      <m:oMath>
        <m:r>
          <m:t>1.2</m:t>
        </m:r>
        <m:r>
          <m:t>D</m:t>
        </m:r>
        <m:r>
          <m:rPr>
            <m:sty m:val="p"/>
          </m:rPr>
          <m:t>+</m:t>
        </m:r>
        <m:r>
          <m:t>1.6</m:t>
        </m:r>
        <m:r>
          <m:t>L</m:t>
        </m:r>
      </m:oMath>
      <w:r>
        <w:t xml:space="preserve">. Loads are propagated in topological order,</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with fractions</w:t>
      </w:r>
      <w:r>
        <w:t xml:space="preserve"> </w:t>
      </w:r>
      <m:oMath>
        <m:r>
          <m:t>ϕ</m:t>
        </m:r>
      </m:oMath>
      <w:r>
        <w:t xml:space="preserve"> </w:t>
      </w:r>
      <w:r>
        <w:t xml:space="preserve">from tributary areas on a 0.5 m grid for slabs, tributary lengths for beams, braces and walls, and plan overlap otherwise. Load is passed only to supports that reach</w:t>
      </w:r>
      <w:r>
        <w:t xml:space="preserve"> </w:t>
      </w:r>
      <m:oMath>
        <m:r>
          <m:rPr>
            <m:sty m:val="p"/>
          </m:rPr>
          <m:t>Γ</m:t>
        </m:r>
      </m:oMath>
      <w:r>
        <w:t xml:space="preserve">, so the load entering the ground equals the total supported load exactly.</w:t>
      </w:r>
    </w:p>
    <w:p>
      <w:pPr>
        <w:pStyle w:val="BodyText"/>
      </w:pPr>
      <w:r>
        <w:rPr>
          <w:b/>
          <w:bCs/>
        </w:rPr>
        <w:t xml:space="preserve">Orphaned load and criticality.</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48204575c0e490be04040be2e399e2ed1a2a995">
        <w:r>
          <w:rPr>
            <w:rStyle w:val="Hyperlink"/>
          </w:rPr>
          <w:t xml:space="preserve">Hagberg et al. 2008</w:t>
        </w:r>
      </w:hyperlink>
      <w:r>
        <w:t xml:space="preserve">;</w:t>
      </w:r>
      <w:r>
        <w:t xml:space="preserve"> </w:t>
      </w:r>
      <w:hyperlink w:anchor="_9bd1f2867fe2c3e412274958f7ebd87d2dfe882">
        <w:r>
          <w:rPr>
            <w:rStyle w:val="Hyperlink"/>
          </w:rPr>
          <w:t xml:space="preserve">Lengauer and Tarjan 1979</w:t>
        </w:r>
      </w:hyperlink>
      <w:r>
        <w:t xml:space="preserve">)</w:t>
      </w:r>
      <w:r>
        <w:t xml:space="preserve"> </w:t>
      </w:r>
      <w:r>
        <w:t xml:space="preserve">gives,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 every 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left without an alternative path if</w:t>
      </w:r>
      <w:r>
        <w:t xml:space="preserve"> </w:t>
      </w:r>
      <m:oMath>
        <m:r>
          <m:t>i</m:t>
        </m:r>
      </m:oMath>
      <w:r>
        <w:t xml:space="preserve"> </w:t>
      </w:r>
      <w:r>
        <w:t xml:space="preserve">is lost, a graph analogue of the alternate-path check</w:t>
      </w:r>
      <w:r>
        <w:t xml:space="preserve"> </w:t>
      </w:r>
      <w:r>
        <w:t xml:space="preserve">(</w:t>
      </w:r>
      <w:hyperlink w:anchor="_06e5951872820aa0f41fe13dcb89ffb864de2dd">
        <w:r>
          <w:rPr>
            <w:rStyle w:val="Hyperlink"/>
          </w:rPr>
          <w:t xml:space="preserve">U.S. Department of Defense 2016</w:t>
        </w:r>
      </w:hyperlink>
      <w:r>
        <w:t xml:space="preserve">)</w:t>
      </w:r>
      <w:r>
        <w:t xml:space="preserve">.</w:t>
      </w:r>
      <w:r>
        <w:t xml:space="preserve"> </w:t>
      </w:r>
      <m:oMath>
        <m:sSub>
          <m:e>
            <m:r>
              <m:t>D</m:t>
            </m:r>
          </m:e>
          <m:sub>
            <m:r>
              <m:t>i</m:t>
            </m:r>
          </m:sub>
        </m:sSub>
      </m:oMath>
      <w:r>
        <w:t xml:space="preserve"> </w:t>
      </w:r>
      <w:r>
        <w:t xml:space="preserve">and</w:t>
      </w:r>
      <w:r>
        <w:t xml:space="preserve"> </w:t>
      </w:r>
      <m:oMath>
        <m:sSub>
          <m:e>
            <m:r>
              <m:t>E</m:t>
            </m:r>
          </m:e>
          <m:sub>
            <m:r>
              <m:t>i</m:t>
            </m:r>
          </m:sub>
        </m:sSub>
      </m:oMath>
      <w:r>
        <w:t xml:space="preserve"> </w:t>
      </w:r>
      <w:r>
        <w:t xml:space="preserve">are combined into the load-path criticality index</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a member receives directly from a slab it supports (a typical floor bay),</w:t>
      </w:r>
      <w:r>
        <w:t xml:space="preserve"> </w:t>
      </w:r>
      <m:oMath>
        <m:sSub>
          <m:e>
            <m:r>
              <m:t>D</m:t>
            </m:r>
          </m:e>
          <m:sub>
            <m:r>
              <m:rPr>
                <m:sty m:val="p"/>
              </m:rPr>
              <m:t>max</m:t>
            </m:r>
          </m:sub>
        </m:sSub>
      </m:oMath>
      <w:r>
        <w:t xml:space="preserve"> </w:t>
      </w:r>
      <w:r>
        <w:t xml:space="preserve">is the largest load on a non-slab member and</w:t>
      </w:r>
      <w:r>
        <w:t xml:space="preserve"> </w:t>
      </w:r>
      <m:oMath>
        <m:r>
          <m:t>α</m:t>
        </m:r>
        <m:r>
          <m:rPr>
            <m:sty m:val="p"/>
          </m:rPr>
          <m:t>=</m:t>
        </m:r>
        <m:r>
          <m:t>0.3</m:t>
        </m:r>
      </m:oMath>
      <w:r>
        <w:t xml:space="preserve">; the logarithm puts joists, girders and columns on one scale. Because a storey slab is often a single Revit element, a slab clash is assessed for its local panel,</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to the nearest member beneath the slab, plus any column or wall bearing on the slab within</w:t>
      </w:r>
      <w:r>
        <w:t xml:space="preserve"> </w:t>
      </w:r>
      <m:oMath>
        <m:r>
          <m:t>R</m:t>
        </m:r>
      </m:oMath>
      <w:r>
        <w:t xml:space="preserve"> </w:t>
      </w:r>
      <w:r>
        <w:t xml:space="preserve">(</w:t>
      </w:r>
      <m:oMath>
        <m:r>
          <m:t>R</m:t>
        </m:r>
        <m:r>
          <m:rPr>
            <m:sty m:val="p"/>
          </m:rPr>
          <m:t>=</m:t>
        </m:r>
        <m:r>
          <m:t>1</m:t>
        </m:r>
      </m:oMath>
      <w:r>
        <w:t xml:space="preserve"> </w:t>
      </w:r>
      <w:r>
        <w:t xml:space="preserve">m on grade).</w:t>
      </w:r>
    </w:p>
    <w:p>
      <w:pPr>
        <w:pStyle w:val="Heading2"/>
      </w:pPr>
      <w:bookmarkStart w:id="25" w:name="_81924f8f02b18bea670579298571969f4391909"/>
      <w:r>
        <w:t xml:space="preserve">Load path-aware severity classification</w:t>
      </w:r>
      <w:bookmarkEnd w:id="25"/>
    </w:p>
    <w:p>
      <w:pPr>
        <w:pStyle w:val="FirstParagraph"/>
      </w:pPr>
      <w:r>
        <w:t xml:space="preserve">Severity combines the capacity removed at the clash location with the load that depends on the member there. The local impact is the demand-weighted capacity loss index</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at the clash location; for beams,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The member-specific loss models, given in full in the released code, are:</w:t>
      </w:r>
    </w:p>
    <w:p>
      <w:pPr>
        <w:pStyle w:val="Compact"/>
        <w:numPr>
          <w:ilvl w:val="0"/>
          <w:numId w:val="1003"/>
        </w:numPr>
      </w:pPr>
      <w:r>
        <w:rPr>
          <w:i/>
          <w:iCs/>
        </w:rPr>
        <w:t xml:space="preserve">Concrete beams</w:t>
      </w:r>
      <w:r>
        <w:t xml:space="preserve">: a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gives</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w:t>
      </w:r>
      <w:r>
        <w:t xml:space="preserve">and</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Openings reaching the outer 50 mm, where longitudinal bars lie, have</w:t>
      </w:r>
      <w:r>
        <w:t xml:space="preserve"> </w:t>
      </w:r>
      <m:oMath>
        <m:sSub>
          <m:e>
            <m:r>
              <m:t>ℓ</m:t>
            </m:r>
          </m:e>
          <m:sub>
            <m:r>
              <m:t>M</m:t>
            </m:r>
          </m:sub>
        </m:sSub>
        <m:r>
          <m:rPr>
            <m:sty m:val="p"/>
          </m:rPr>
          <m:t>≥</m:t>
        </m:r>
        <m:r>
          <m:t>0.5</m:t>
        </m:r>
        <m:r>
          <m:t> </m:t>
        </m:r>
        <m:sSub>
          <m:e>
            <m:r>
              <m:t>b</m:t>
            </m:r>
          </m:e>
          <m:sub>
            <m:r>
              <m:t>h</m:t>
            </m:r>
          </m:sub>
        </m:sSub>
        <m:r>
          <m:rPr>
            <m:sty m:val="p"/>
          </m:rPr>
          <m:t>/</m:t>
        </m:r>
        <m:r>
          <m:t>b</m:t>
        </m:r>
      </m:oMath>
      <w:r>
        <w:t xml:space="preserve">, and openings deeper than</w:t>
      </w:r>
      <w:r>
        <w:t xml:space="preserve"> </w:t>
      </w:r>
      <m:oMath>
        <m:r>
          <m:t>h</m:t>
        </m:r>
        <m:r>
          <m:rPr>
            <m:sty m:val="p"/>
          </m:rPr>
          <m:t>/</m:t>
        </m:r>
        <m:r>
          <m:t>3</m:t>
        </m:r>
      </m:oMath>
      <w:r>
        <w:t xml:space="preserve"> </w:t>
      </w:r>
      <w:r>
        <w:t xml:space="preserve">count as large openings</w:t>
      </w:r>
      <w:r>
        <w:t xml:space="preserve"> </w:t>
      </w:r>
      <w:r>
        <w:t xml:space="preserve">(</w:t>
      </w:r>
      <w:hyperlink w:anchor="_32f7d1420d0bdfaa9e57092a859aa66a5983a25">
        <w:r>
          <w:rPr>
            <w:rStyle w:val="Hyperlink"/>
          </w:rPr>
          <w:t xml:space="preserve">Ahmed et al. 2012</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over flanges and web,</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fraction of web depth removed for shear; deep web openings near supports are flagged</w:t>
      </w:r>
      <w:r>
        <w:t xml:space="preserve"> </w:t>
      </w:r>
      <w:r>
        <w:t xml:space="preserve">(</w:t>
      </w:r>
      <w:hyperlink w:anchor="_3fd180c218df11ad837b279d4feeebf3c04c7a8">
        <w:r>
          <w:rPr>
            <w:rStyle w:val="Hyperlink"/>
          </w:rPr>
          <w:t xml:space="preserve">Darwin 1990</w:t>
        </w:r>
      </w:hyperlink>
      <w:r>
        <w:t xml:space="preserve">)</w:t>
      </w:r>
      <w:r>
        <w:t xml:space="preserve">.</w:t>
      </w:r>
    </w:p>
    <w:p>
      <w:pPr>
        <w:pStyle w:val="Compact"/>
        <w:numPr>
          <w:ilvl w:val="0"/>
          <w:numId w:val="1003"/>
        </w:numPr>
      </w:pPr>
      <w:r>
        <w:rPr>
          <w:i/>
          <w:iCs/>
        </w:rPr>
        <w:t xml:space="preserve">Open-web joists</w:t>
      </w:r>
      <w:r>
        <w:t xml:space="preserve">: the fraction of joist material within the clash slice, attributed to the chords or the web by its position in the depth.</w:t>
      </w:r>
    </w:p>
    <w:p>
      <w:pPr>
        <w:pStyle w:val="Compact"/>
        <w:numPr>
          <w:ilvl w:val="0"/>
          <w:numId w:val="1003"/>
        </w:numPr>
      </w:pPr>
      <w:r>
        <w:rPr>
          <w:i/>
          <w:iCs/>
        </w:rPr>
        <w:t xml:space="preserve">Columns, braces, walls and foundations</w:t>
      </w:r>
      <w:r>
        <w:t xml:space="preserve">: the fraction of cross-sectional area (columns and braces,</w:t>
      </w:r>
      <w:r>
        <w:t xml:space="preserve"> </w:t>
      </w:r>
      <m:oMath>
        <m:sSub>
          <m:e>
            <m:r>
              <m:t>f</m:t>
            </m:r>
          </m:e>
          <m:sub>
            <m:r>
              <m:t>N</m:t>
            </m:r>
          </m:sub>
        </m:sSub>
        <m:r>
          <m:rPr>
            <m:sty m:val="p"/>
          </m:rPr>
          <m:t>=</m:t>
        </m:r>
        <m:r>
          <m:t>1</m:t>
        </m:r>
      </m:oMath>
      <w:r>
        <w:t xml:space="preserve">), of wall length (weighted 1.0 within the boundary zones and 0.6 elsewhere) or of plan area removed.</w:t>
      </w:r>
    </w:p>
    <w:p>
      <w:pPr>
        <w:pStyle w:val="Compact"/>
        <w:numPr>
          <w:ilvl w:val="0"/>
          <w:numId w:val="1003"/>
        </w:numPr>
      </w:pPr>
      <w:r>
        <w:rPr>
          <w:i/>
          <w:iCs/>
        </w:rPr>
        <w:t xml:space="preserve">Slabs</w:t>
      </w:r>
      <w:r>
        <w:t xml:space="preserve">: an embedded horizontal run has</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ACI Committee 318 2019</w:t>
        </w:r>
      </w:hyperlink>
      <w:r>
        <w:t xml:space="preserve">)</w:t>
      </w:r>
      <w:r>
        <w:t xml:space="preserve">. A penetration is assessed for punching when it lies within</w:t>
      </w:r>
      <w:r>
        <w:t xml:space="preserve"> </w:t>
      </w:r>
      <m:oMath>
        <m:r>
          <m:t>4</m:t>
        </m:r>
        <m:r>
          <m:t>t</m:t>
        </m:r>
      </m:oMath>
      <w:r>
        <w:t xml:space="preserve"> </w:t>
      </w:r>
      <w:r>
        <w:t xml:space="preserve">of a column face and for flexure with demand factors of 1.0, 0.5 and 0.1 by column and middle strips, following ACI 318 §8.5.4.</w:t>
      </w:r>
    </w:p>
    <w:p>
      <w:pPr>
        <w:pStyle w:val="FirstParagraph"/>
      </w:pPr>
      <w:r>
        <w:t xml:space="preserve">Clearance clashes and touches have</w:t>
      </w:r>
      <w:r>
        <w:t xml:space="preserve"> </w:t>
      </w:r>
      <m:oMath>
        <m:r>
          <m:t>η</m:t>
        </m:r>
        <m:r>
          <m:rPr>
            <m:sty m:val="p"/>
          </m:rPr>
          <m:t>=</m:t>
        </m:r>
        <m:r>
          <m:t>0</m:t>
        </m:r>
      </m:oMath>
      <w:r>
        <w:t xml:space="preserve">. The consequence level uses bay-equivalents,</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 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classed as</w:t>
      </w:r>
      <w:r>
        <w:t xml:space="preserve"> </w:t>
      </w:r>
      <w:r>
        <w:rPr>
          <w:i/>
          <w:iCs/>
        </w:rPr>
        <w:t xml:space="preserve">Coordination</w:t>
      </w:r>
      <w:r>
        <w:t xml:space="preserve">. Within and across classes, clashes are ranked by</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so that equal local damage ranks higher on a more critical member. The thresholds are judgement-based and are tested in the sensitivity analysis (see “Sensitivity (RQ3)”).</w:t>
      </w:r>
    </w:p>
    <w:bookmarkStart w:id="26"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6"/>
    <w:p>
      <w:pPr>
        <w:pStyle w:val="Heading2"/>
      </w:pPr>
      <w:bookmarkStart w:id="27" w:name="_98bea6efb1373378599be14f71df236f47d771d"/>
      <w:r>
        <w:t xml:space="preserve">Digital-twin synchronisation</w:t>
      </w:r>
      <w:bookmarkEnd w:id="27"/>
    </w:p>
    <w:p>
      <w:pPr>
        <w:pStyle w:val="FirstParagraph"/>
      </w:pPr>
      <w:r>
        <w:t xml:space="preserve">The twin holds the current elements, an R-tree of MEP boxes, the cached contact pairs, the clashes and their assessments, and records every version in SQLite, with a SHA-1 fingerprint of each element’s rounded mesh, properties and category. A pyRevit hook on Revit’s</w:t>
      </w:r>
      <w:r>
        <w:t xml:space="preserve"> </w:t>
      </w:r>
      <w:r>
        <w:rPr>
          <w:rStyle w:val="VerbatimChar"/>
        </w:rPr>
        <w:t xml:space="preserve">DocumentChanged</w:t>
      </w:r>
      <w:r>
        <w:t xml:space="preserve"> </w:t>
      </w:r>
      <w:r>
        <w:t xml:space="preserve">event serialises the added and modified elements of each committed transaction, with the ids of deleted ones, into the twin’s inbox. For each delta the twin diffs fingerprints, removes the affected clashes, and re-runs the narrow phase only for changed structural × all MEP and all structural × changed MEP elements. If a structural member changed, it recomputes that member’s contacts before re-orienting and re-propagating the graph, and it re-assesses all clashes, because support sets can move. The result is designed to be identical to a full recomputation, and this is tested (see “Digital-twin performance (RQ4)”). A</w:t>
      </w:r>
      <w:r>
        <w:t xml:space="preserve"> </w:t>
      </w:r>
      <w:r>
        <w:rPr>
          <w:i/>
          <w:iCs/>
        </w:rPr>
        <w:t xml:space="preserve">Show Severity</w:t>
      </w:r>
      <w:r>
        <w:t xml:space="preserve"> </w:t>
      </w:r>
      <w:r>
        <w:t xml:space="preserve">command writes the results back: it colours each clashing structural member in the active view by its worst class and places a marker recording the class,</w:t>
      </w:r>
      <w:r>
        <w:t xml:space="preserve"> </w:t>
      </w:r>
      <m:oMath>
        <m:r>
          <m:t>η</m:t>
        </m:r>
      </m:oMath>
      <w:r>
        <w:t xml:space="preserve"> </w:t>
      </w:r>
      <w:r>
        <w:t xml:space="preserve">and LPCI at every Critical and Major clash. The coupling between the authoring model and the analysis is therefore automatic in both directions</w:t>
      </w:r>
      <w:r>
        <w:t xml:space="preserve"> </w:t>
      </w:r>
      <w:r>
        <w:t xml:space="preserve">(</w:t>
      </w:r>
      <w:hyperlink w:anchor="_9a2b4e75efdb3e2848fae6b0050102afc345cd1">
        <w:r>
          <w:rPr>
            <w:rStyle w:val="Hyperlink"/>
          </w:rPr>
          <w:t xml:space="preserve">Kritzinger et al. 2018</w:t>
        </w:r>
      </w:hyperlink>
      <w:r>
        <w:t xml:space="preserve">)</w:t>
      </w:r>
      <w:r>
        <w:t xml:space="preserve">.</w:t>
      </w:r>
    </w:p>
    <w:p>
      <w:pPr>
        <w:pStyle w:val="Heading1"/>
      </w:pPr>
      <w:bookmarkStart w:id="28" w:name="_08ada0cdce9d72ae4431c329f6bf49e4ed34718"/>
      <w:r>
        <w:t xml:space="preserve">Implementation and evaluation design</w:t>
      </w:r>
      <w:bookmarkEnd w:id="28"/>
    </w:p>
    <w:p>
      <w:pPr>
        <w:pStyle w:val="Heading2"/>
      </w:pPr>
      <w:bookmarkStart w:id="29" w:name="_implementation"/>
      <w:r>
        <w:t xml:space="preserve">Implementation</w:t>
      </w:r>
      <w:bookmarkEnd w:id="29"/>
    </w:p>
    <w:p>
      <w:pPr>
        <w:pStyle w:val="FirstParagraph"/>
      </w:pPr>
      <w:r>
        <w:t xml:space="preserve">The Revit side is a pyRevit</w:t>
      </w:r>
      <w:r>
        <w:t xml:space="preserve"> </w:t>
      </w:r>
      <w:r>
        <w:t xml:space="preserve">(</w:t>
      </w:r>
      <w:hyperlink w:anchor="_f468efb278e18e644ce546146eee60da7ca9087">
        <w:r>
          <w:rPr>
            <w:rStyle w:val="Hyperlink"/>
          </w:rPr>
          <w:t xml:space="preserve">pyRevitLabs</w:t>
        </w:r>
        <w:r>
          <w:rPr>
            <w:rStyle w:val="Hyperlink"/>
          </w:rPr>
          <w:t xml:space="preserve"> </w:t>
        </w:r>
        <w:r>
          <w:rPr>
            <w:rStyle w:val="Hyperlink"/>
          </w:rPr>
          <w:t xml:space="preserve">2026</w:t>
        </w:r>
      </w:hyperlink>
      <w:r>
        <w:t xml:space="preserve">)</w:t>
      </w:r>
      <w:r>
        <w:t xml:space="preserve"> </w:t>
      </w:r>
      <w:r>
        <w:t xml:space="preserve">extension for Revit 2027 (.NET 10, IronPython 2.7)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the change hook; API use was checked against a reference generated from the installed API assemblies</w:t>
      </w:r>
      <w:r>
        <w:t xml:space="preserve"> </w:t>
      </w:r>
      <w:r>
        <w:t xml:space="preserve">(</w:t>
      </w:r>
      <w:hyperlink w:anchor="_11abfe69a8c7cb566f978a5aabb0fe1e9f62b53">
        <w:r>
          <w:rPr>
            <w:rStyle w:val="Hyperlink"/>
          </w:rPr>
          <w:t xml:space="preserve">Autodesk 2026</w:t>
        </w:r>
      </w:hyperlink>
      <w:r>
        <w:t xml:space="preserve">)</w:t>
      </w:r>
      <w:r>
        <w:t xml:space="preserve">. The analysis service is a Python 3.11 package that uses trimesh and Manifold, python-fcl</w:t>
      </w:r>
      <w:r>
        <w:t xml:space="preserve"> </w:t>
      </w:r>
      <w:r>
        <w:t xml:space="preserve">(</w:t>
      </w:r>
      <w:hyperlink w:anchor="_fb3fd29184e1f6192b542d21235915d50f8fba1">
        <w:r>
          <w:rPr>
            <w:rStyle w:val="Hyperlink"/>
          </w:rPr>
          <w:t xml:space="preserve">Pan et al. 2012</w:t>
        </w:r>
      </w:hyperlink>
      <w:r>
        <w:t xml:space="preserve">)</w:t>
      </w:r>
      <w:r>
        <w:t xml:space="preserve">, an R-tree, NetworkX</w:t>
      </w:r>
      <w:r>
        <w:t xml:space="preserve"> </w:t>
      </w:r>
      <w:r>
        <w:t xml:space="preserve">(</w:t>
      </w:r>
      <w:hyperlink w:anchor="_48204575c0e490be04040be2e399e2ed1a2a995">
        <w:r>
          <w:rPr>
            <w:rStyle w:val="Hyperlink"/>
          </w:rPr>
          <w:t xml:space="preserve">Hagberg et al. 2008</w:t>
        </w:r>
      </w:hyperlink>
      <w:r>
        <w:t xml:space="preserve">)</w:t>
      </w:r>
      <w:r>
        <w:t xml:space="preserve"> </w:t>
      </w:r>
      <w:r>
        <w:t xml:space="preserve">and SQLite, and all experiments ran on one Windows 11 workstation. An automated test suite contains synthetic cases with known answers (a one-bay frame with hand-checkable loads, a pipe through a beam with an analytical intersection volume, an embedded conduit) and incremental-versus-full equivalence checks.</w:t>
      </w:r>
    </w:p>
    <w:p>
      <w:pPr>
        <w:pStyle w:val="BodyText"/>
      </w:pPr>
      <w:r>
        <w:t xml:space="preserve">A generative AI coding agent, Claude Code with the Claude Opus 5.5 model (Anthropic), wrote the extension, the analysis package, the experiment scripts and the scripts that produce the figures, the tables and the architecture diagram, under the authors’ direction; it also ran the experiments and searched the literature through the OpenAlex API. Its output was verified independently of the agent: by the test suite, by agreement with Revit’s own solid-intersection filter, by exact load equilibrium in both models and by identity of incremental and full recomputation. Every number, table and plot is generated by the released scripts from the stored results, and every reference was checked against its DOI record.</w:t>
      </w:r>
    </w:p>
    <w:p>
      <w:pPr>
        <w:pStyle w:val="Heading2"/>
      </w:pPr>
      <w:bookmarkStart w:id="30" w:name="_40c34dafa3a7c64bd55534d8fb8cdaed8344231"/>
      <w:r>
        <w:t xml:space="preserve">Case-study models</w:t>
      </w:r>
      <w:bookmarkEnd w:id="30"/>
    </w:p>
    <w:p>
      <w:pPr>
        <w:pStyle w:val="FirstParagraph"/>
      </w:pPr>
      <w:r>
        <w:t xml:space="preserve">Two federated models distributed with Revit 2027 were used (Table 3).</w:t>
      </w:r>
      <w:r>
        <w:t xml:space="preserve"> </w:t>
      </w:r>
      <w:r>
        <w:rPr>
          <w:i/>
          <w:iCs/>
        </w:rPr>
        <w:t xml:space="preserve">Snowdon Towers</w:t>
      </w:r>
      <w:r>
        <w:t xml:space="preserve"> </w:t>
      </w:r>
      <w:r>
        <w:t xml:space="preserve">combines steel W-shape girders, open-web steel joists, concrete beams, columns, walls and slabs on spread footings, with separate architectural, HVAC, plumbing, electrical and site models.</w:t>
      </w:r>
      <w:r>
        <w:t xml:space="preserve"> </w:t>
      </w:r>
      <w:r>
        <w:rPr>
          <w:i/>
          <w:iCs/>
        </w:rPr>
        <w:t xml:space="preserve">Golden Nugget</w:t>
      </w:r>
      <w:r>
        <w:t xml:space="preserve"> </w:t>
      </w:r>
      <w:r>
        <w:t xml:space="preserve">has a combined architectural and structural model and a building-services model. In each case the structural model was opened as host with the other models as links, detached and read-only, and nothing was saved.</w:t>
      </w:r>
    </w:p>
    <w:bookmarkStart w:id="31"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1"/>
    <w:p>
      <w:pPr>
        <w:pStyle w:val="FirstParagraph"/>
      </w:pPr>
      <w:r>
        <w:t xml:space="preserve">Snowdon Towers was the</w:t>
      </w:r>
      <w:r>
        <w:t xml:space="preserve"> </w:t>
      </w:r>
      <w:r>
        <w:rPr>
          <w:i/>
          <w:iCs/>
        </w:rPr>
        <w:t xml:space="preserve">development</w:t>
      </w:r>
      <w:r>
        <w:t xml:space="preserve"> </w:t>
      </w:r>
      <w:r>
        <w:t xml:space="preserve">case: errors found while analysing it led to the corrections reported with the detection and load-path results. The method was then frozen and applied to Golden Nugget as a</w:t>
      </w:r>
      <w:r>
        <w:t xml:space="preserve"> </w:t>
      </w:r>
      <w:r>
        <w:rPr>
          <w:i/>
          <w:iCs/>
        </w:rPr>
        <w:t xml:space="preserve">held-out</w:t>
      </w:r>
      <w:r>
        <w:t xml:space="preserve"> </w:t>
      </w:r>
      <w:r>
        <w:t xml:space="preserve">case, which exposed assumptions that did not generalise and one reproducibility defect. The following were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the section “Held-out case: Golden Nugget” compares the frozen and revised results; all other results use the revised method, which changed three classes in the development case.</w:t>
      </w:r>
    </w:p>
    <w:p>
      <w:pPr>
        <w:pStyle w:val="Heading2"/>
      </w:pPr>
      <w:bookmarkStart w:id="32" w:name="_5f020aa0c6197c84931fcdc6869c02457456c12"/>
      <w:r>
        <w:t xml:space="preserve">Evaluation design</w:t>
      </w:r>
      <w:bookmarkEnd w:id="32"/>
    </w:p>
    <w:p>
      <w:pPr>
        <w:pStyle w:val="Compact"/>
        <w:numPr>
          <w:ilvl w:val="0"/>
          <w:numId w:val="1004"/>
        </w:numPr>
      </w:pPr>
      <w:r>
        <w:rPr>
          <w:b/>
          <w:bCs/>
        </w:rPr>
        <w:t xml:space="preserve">RQ1, detection.</w:t>
      </w:r>
      <w:r>
        <w:t xml:space="preserve"> </w:t>
      </w:r>
      <w:r>
        <w:t xml:space="preserve">Physical clashes (hard and touch) were compared with the pairs returned by Revit’s</w:t>
      </w:r>
      <w:r>
        <w:t xml:space="preserve"> </w:t>
      </w:r>
      <w:r>
        <w:rPr>
          <w:rStyle w:val="VerbatimChar"/>
        </w:rPr>
        <w:t xml:space="preserve">ElementIntersectsSolidFilter</w:t>
      </w:r>
      <w:r>
        <w:t xml:space="preserve">, and every disagreement was inspected. Broad-phase scalability was measured by tiling a model</w:t>
      </w:r>
      <w:r>
        <w:t xml:space="preserve"> </w:t>
      </w:r>
      <m:oMath>
        <m:r>
          <m:t>k</m:t>
        </m:r>
      </m:oMath>
      <w:r>
        <w:t xml:space="preserve"> </w:t>
      </w:r>
      <w:r>
        <w:t xml:space="preserve">= 1, 2, 4 and 8 times.</w:t>
      </w:r>
    </w:p>
    <w:p>
      <w:pPr>
        <w:pStyle w:val="Compact"/>
        <w:numPr>
          <w:ilvl w:val="0"/>
          <w:numId w:val="1004"/>
        </w:numPr>
      </w:pPr>
      <w:r>
        <w:rPr>
          <w:b/>
          <w:bCs/>
        </w:rPr>
        <w:t xml:space="preserve">RQ2, load path.</w:t>
      </w:r>
      <w:r>
        <w:t xml:space="preserve"> </w:t>
      </w:r>
      <w:r>
        <w:t xml:space="preserve">Global equilibrium, unsupported members and the distribution of carried loads were examined.</w:t>
      </w:r>
    </w:p>
    <w:p>
      <w:pPr>
        <w:pStyle w:val="Compact"/>
        <w:numPr>
          <w:ilvl w:val="0"/>
          <w:numId w:val="1004"/>
        </w:numPr>
      </w:pPr>
      <w:r>
        <w:rPr>
          <w:b/>
          <w:bCs/>
        </w:rPr>
        <w:t xml:space="preserve">RQ3, severity.</w:t>
      </w:r>
      <w:r>
        <w:t xml:space="preserve"> </w:t>
      </w:r>
      <w:r>
        <w:t xml:space="preserve">The proposed classes were compared with (i)</w:t>
      </w:r>
      <w:r>
        <w:t xml:space="preserve"> </w:t>
      </w:r>
      <w:r>
        <w:rPr>
          <w:i/>
          <w:iCs/>
        </w:rPr>
        <w:t xml:space="preserve">local impact only</w:t>
      </w:r>
      <w:r>
        <w:t xml:space="preserve">, the same</w:t>
      </w:r>
      <w:r>
        <w:t xml:space="preserve"> </w:t>
      </w:r>
      <m:oMath>
        <m:r>
          <m:t>η</m:t>
        </m:r>
      </m:oMath>
      <w:r>
        <w:t xml:space="preserve"> </w:t>
      </w:r>
      <w:r>
        <w:t xml:space="preserve">with every member at the middle consequence level (a load-path ablation); (ii)</w:t>
      </w:r>
      <w:r>
        <w:t xml:space="preserve"> </w:t>
      </w:r>
      <w:r>
        <w:rPr>
          <w:i/>
          <w:iCs/>
        </w:rPr>
        <w:t xml:space="preserve">geometry only</w:t>
      </w:r>
      <w:r>
        <w:t xml:space="preserve">, classes from the smallest clash extent with thresholds of 10, 50 and 150 mm, as in penetration-depth triage; and (iii)</w:t>
      </w:r>
      <w:r>
        <w:t xml:space="preserve"> </w:t>
      </w:r>
      <w:r>
        <w:rPr>
          <w:i/>
          <w:iCs/>
        </w:rPr>
        <w:t xml:space="preserve">category rules</w:t>
      </w:r>
      <w:r>
        <w:t xml:space="preserve">, a priority by member type (column &gt; beam, wall, foundation &gt; slab), raised one level for MEP elements of 300 mm or more. A one-at-a-time sensitivity analysis varied the impact and consequence thresholds (×0.5 to ×2), α, β, the loads and the tolerances, reporting the Jaccard overlap of the Critical+Major set, the quadratic-weighted Cohen’s κ of the classes and Kendall’s τ of the top-50 scores.</w:t>
      </w:r>
    </w:p>
    <w:p>
      <w:pPr>
        <w:pStyle w:val="Compact"/>
        <w:numPr>
          <w:ilvl w:val="0"/>
          <w:numId w:val="1004"/>
        </w:numPr>
      </w:pPr>
      <w:r>
        <w:rPr>
          <w:b/>
          <w:bCs/>
        </w:rPr>
        <w:t xml:space="preserve">RQ4, digital twin.</w:t>
      </w:r>
      <w:r>
        <w:t xml:space="preserve"> </w:t>
      </w:r>
      <w:r>
        <w:t xml:space="preserve">A seeded stream of 120 changes (20 each of MEP move, resize, add and delete, and beam move and delete) was applied through the twin; every 20 events, the incremental state was compared with, and timed against, a full recomputation.</w:t>
      </w:r>
    </w:p>
    <w:p>
      <w:pPr>
        <w:pStyle w:val="Heading1"/>
      </w:pPr>
      <w:bookmarkStart w:id="33" w:name="_results"/>
      <w:r>
        <w:t xml:space="preserve">Results</w:t>
      </w:r>
      <w:bookmarkEnd w:id="33"/>
    </w:p>
    <w:p>
      <w:pPr>
        <w:pStyle w:val="Heading2"/>
      </w:pPr>
      <w:bookmarkStart w:id="34" w:name="_ddeb4f6bce894989886e7f4deba8db20a5eb724"/>
      <w:r>
        <w:t xml:space="preserve">Clash detection (RQ1)</w:t>
      </w:r>
      <w:bookmarkEnd w:id="34"/>
    </w:p>
    <w:p>
      <w:pPr>
        <w:pStyle w:val="FirstParagraph"/>
      </w:pPr>
      <w:r>
        <w:t xml:space="preserve">Snowdon Towers has 1,185 structural members (959 beams, 54 columns, 90 foundations, 58 walls and 24 slabs) and 9,129 MEP elements in three links (HVAC 2,118; electrical 852; plumbing 6,159). The framework found 687 hard clashes, 17 touches and 592 clearance clashes (Table 4). Of the hard clashes, 602 involved slabs, mostly pipes and conduits through floors, and clearance clashes concentrated on beams (478), where ducts and pipes run just beneath the framing.</w:t>
      </w:r>
    </w:p>
    <w:bookmarkStart w:id="35"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5"/>
    <w:p>
      <w:pPr>
        <w:pStyle w:val="FirstParagraph"/>
      </w:pPr>
      <w:r>
        <w:t xml:space="preserve">Revit’s filter returned 697 pairs, of which 696 were found (recall 0.999), and 8 of the 704 physical clashes were not in Revit’s set (precision 0.989). All 8 are zero-volume face contacts, which Revit’s filter excludes by definition, and the single miss is a pipe whose tessellation stops short of a slab face. During development, surface-only collision tests missed 59 MEP elements lying entirely inside slabs or walls (recall 0.914 before the containment test was added), and a sampling fallback underestimated intersection volumes in the non-watertight open-web joists by up to a factor of 2.6, whereas the component-wise Boolean is exact and deterministic. The R-tree reduced the 10.8 million structural–MEP pairs to 2,040 candidates in 0.09 s. With the model tiled eight times (692 million pairs), the brute-force broad phase grew quadratically to 45 s and the R-tree almost linearly to 0.84 s (Fig. 2a). The complete pipeline (detection 17 s, load-path graph 17 s, severity 5 s) took 39 s, against 544 s for Revit’s filter (Fig. 2b), although that advantage does not hold for every model (see “Held-out case: Golden Nugget”).</w:t>
      </w:r>
    </w:p>
    <w:bookmarkStart w:id="39" w:name="_3b23a916554b579fd7a4d4043bdfad089c826c3"/>
    <w:p>
      <w:pPr>
        <w:pStyle w:val="CaptionedFigure"/>
      </w:pPr>
      <w:r>
        <w:drawing>
          <wp:inline>
            <wp:extent cx="4314825" cy="2003557"/>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7" name="Picture"/>
            <a:graphic>
              <a:graphicData uri="http://schemas.openxmlformats.org/drawingml/2006/picture">
                <pic:pic>
                  <pic:nvPicPr>
                    <pic:cNvPr descr="figures/fig2_detection.png" id="38" name="Picture"/>
                    <pic:cNvPicPr>
                      <a:picLocks noChangeArrowheads="1" noChangeAspect="1"/>
                    </pic:cNvPicPr>
                  </pic:nvPicPr>
                  <pic:blipFill>
                    <a:blip r:embed="rId36"/>
                    <a:stretch>
                      <a:fillRect/>
                    </a:stretch>
                  </pic:blipFill>
                  <pic:spPr bwMode="auto">
                    <a:xfrm>
                      <a:off x="0" y="0"/>
                      <a:ext cx="4314825" cy="2003557"/>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39"/>
    <w:p>
      <w:pPr>
        <w:pStyle w:val="Heading2"/>
      </w:pPr>
      <w:bookmarkStart w:id="40" w:name="_cbd4f74c4243c21c43ac90e7536e4244a069427"/>
      <w:r>
        <w:t xml:space="preserve">Load-path graph (RQ2)</w:t>
      </w:r>
      <w:bookmarkEnd w:id="40"/>
    </w:p>
    <w:p>
      <w:pPr>
        <w:pStyle w:val="FirstParagraph"/>
      </w:pPr>
      <w:r>
        <w:t xml:space="preserve">The graph of Snowdon Towers has 1,185 member nodes and 3,432 support edges from 4,059 contact pairs, and only one directed cycle had to be broken (Fig. 3). The reference bay load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114.2 MN enters the ground exactly (ratio 1.0000). With mesh contact alone, 60 members (5.1 %) had no path to the ground, mostly W18x55 girders whose steel geometry is cut back at the connections; member-end proximity reduced this to 21, and the revised beam–column rule to 18 (1.5 %). These are 17 short steel beams and channels and one wall with no modelled support, which the framework flags as modelling gaps.</w:t>
      </w:r>
    </w:p>
    <w:bookmarkStart w:id="44" w:name="_b63dc8bd6ef84bfb1acadaaf438c76d4f7a957a"/>
    <w:p>
      <w:pPr>
        <w:pStyle w:val="CaptionedFigure"/>
      </w:pPr>
      <w:r>
        <w:drawing>
          <wp:inline>
            <wp:extent cx="4602480" cy="2090971"/>
            <wp:effectExtent b="0" l="0" r="0" t="0"/>
            <wp:docPr descr="Fig. 3. Load-path graph of Snowdon Towers. (a) Members shaded by the factored load they carry (log scale; darker means more load); thin lines are support edges; open circles mark the 18 members with no path to the ground. (b) Carried load by member type; bars show the median and interquartile range; loads below 1 kN are shown at 1 kN." title="" id="42" name="Picture"/>
            <a:graphic>
              <a:graphicData uri="http://schemas.openxmlformats.org/drawingml/2006/picture">
                <pic:pic>
                  <pic:nvPicPr>
                    <pic:cNvPr descr="figures/fig3_loadpath.png" id="43" name="Picture"/>
                    <pic:cNvPicPr>
                      <a:picLocks noChangeArrowheads="1" noChangeAspect="1"/>
                    </pic:cNvPicPr>
                  </pic:nvPicPr>
                  <pic:blipFill>
                    <a:blip r:embed="rId41"/>
                    <a:stretch>
                      <a:fillRect/>
                    </a:stretch>
                  </pic:blipFill>
                  <pic:spPr bwMode="auto">
                    <a:xfrm>
                      <a:off x="0" y="0"/>
                      <a:ext cx="4602480" cy="2090971"/>
                    </a:xfrm>
                    <a:prstGeom prst="rect">
                      <a:avLst/>
                    </a:prstGeom>
                    <a:noFill/>
                    <a:ln w="9525">
                      <a:noFill/>
                      <a:headEnd/>
                      <a:tailEnd/>
                    </a:ln>
                  </pic:spPr>
                </pic:pic>
              </a:graphicData>
            </a:graphic>
          </wp:inline>
        </w:drawing>
      </w:r>
    </w:p>
    <w:p>
      <w:pPr>
        <w:pStyle w:val="ImageCaption"/>
      </w:pPr>
      <w:r>
        <w:t xml:space="preserve">Fig. 3. Load-path graph of Snowdon Towers. (a) Members shaded by the factored load they carry (log scale; darker means more load); thin lines are support edges; open circles mark the 18 members with no path to the ground. (b) Carried load by member type; bars show the median and interquartile range; loads below 1 kN are shown at 1 kN.</w:t>
      </w:r>
    </w:p>
    <w:bookmarkEnd w:id="44"/>
    <w:p>
      <w:pPr>
        <w:pStyle w:val="Heading2"/>
      </w:pPr>
      <w:bookmarkStart w:id="45" w:name="_4682edbedd9394d1695d36c979db2de8abbcfbe"/>
      <w:r>
        <w:t xml:space="preserve">Severity classification (RQ3)</w:t>
      </w:r>
      <w:bookmarkEnd w:id="45"/>
    </w:p>
    <w:p>
      <w:pPr>
        <w:pStyle w:val="FirstParagraph"/>
      </w:pPr>
      <w:r>
        <w:t xml:space="preserve">Of the 687 hard clashes in Snowdon Towers, the proposed method rated 1 Critical, 11 Major, 96 Minor and 579 Negligible (Fig. 4 and Table 5). Geometry-only triage rated 43 Critical and 344 Major, so 387 clashes (56 %) would need priority attention, and category rules rated 4 Critical and 83 Major. Agreement with the proposed classes is close to chance for geometry-only triage (quadratic-weighted κ = 0.03) and low for category rules (κ = 0.15), and the methods disagree in both directions (Fig. 5). Of the 387 clashes that geometry-only triage would prioritise, 349 are slab penetrations, mostly vertical pipes through the floor plate that would normally be sleeved; the proposed method rated 320 of the 387 Negligible and 62 Minor, because the openings are small relative to the column strip and the punching perimeter and the local panel load is small. Conversely, 7 of the 12 clashes that the proposed method rated Critical or Major were only Minor for geometry-only triage, such as a 203 mm duct clipping the bottom flange of a W-shape girder (Fig. 6b) and mechanical units cutting the chords of open-web joists (Fig. 6c).</w:t>
      </w:r>
    </w:p>
    <w:bookmarkStart w:id="46"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6"/>
    <w:p>
      <w:pPr>
        <w:pStyle w:val="FirstParagraph"/>
      </w:pPr>
      <w:r>
        <w:t xml:space="preserve">The single Critical clash is a 273 mm pipe running inside a foundation that carries about 5 MN, or 100 bay-equivalents (Fig. 6a); its local impact alone (</w:t>
      </w:r>
      <m:oMath>
        <m:r>
          <m:t>η</m:t>
        </m:r>
        <m:r>
          <m:rPr>
            <m:sty m:val="p"/>
          </m:rPr>
          <m:t>=</m:t>
        </m:r>
        <m:r>
          <m:t>0.20</m:t>
        </m:r>
      </m:oMath>
      <w:r>
        <w:t xml:space="preserve">) would make it Major. The load-path ablation produced 11 Critical or Major clashes. The consequence level downgraded two of them (chord cuts in joists carrying about one bay) and upgraded three: small pipes through heavily loaded walls (16–35 bays) and a pipe embedded in a slab directly beneath a wall that has no other support (orphaned load 1.8 MN).</w:t>
      </w:r>
    </w:p>
    <w:bookmarkStart w:id="50" w:name="_baace8379330e9c0ebd1c7376eeeb54130a3f9d"/>
    <w:p>
      <w:pPr>
        <w:pStyle w:val="CaptionedFigure"/>
      </w:pPr>
      <w:r>
        <w:drawing>
          <wp:inline>
            <wp:extent cx="4602480" cy="1488530"/>
            <wp:effectExtent b="0" l="0" r="0" t="0"/>
            <wp:docPr descr="Fig. 4. Distribution of severity classes of the hard clashes under the four classification methods. “C+M” is the number of Critical and Major clashes." title="" id="48" name="Picture"/>
            <a:graphic>
              <a:graphicData uri="http://schemas.openxmlformats.org/drawingml/2006/picture">
                <pic:pic>
                  <pic:nvPicPr>
                    <pic:cNvPr descr="figures/fig4_severity.png" id="49" name="Picture"/>
                    <pic:cNvPicPr>
                      <a:picLocks noChangeArrowheads="1" noChangeAspect="1"/>
                    </pic:cNvPicPr>
                  </pic:nvPicPr>
                  <pic:blipFill>
                    <a:blip r:embed="rId47"/>
                    <a:stretch>
                      <a:fillRect/>
                    </a:stretch>
                  </pic:blipFill>
                  <pic:spPr bwMode="auto">
                    <a:xfrm>
                      <a:off x="0" y="0"/>
                      <a:ext cx="4602480" cy="1488530"/>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0"/>
    <w:bookmarkStart w:id="54" w:name="_2cd318ba12f609ba1a2c6aa5101e28a4a8a48db"/>
    <w:p>
      <w:pPr>
        <w:pStyle w:val="CaptionedFigure"/>
      </w:pPr>
      <w:r>
        <w:drawing>
          <wp:inline>
            <wp:extent cx="4027169" cy="1620035"/>
            <wp:effectExtent b="0" l="0" r="0" t="0"/>
            <wp:docPr descr="Fig. 5. Cross-tabulation of geometry-only and proposed classes for the hard clashes." title="" id="52" name="Picture"/>
            <a:graphic>
              <a:graphicData uri="http://schemas.openxmlformats.org/drawingml/2006/picture">
                <pic:pic>
                  <pic:nvPicPr>
                    <pic:cNvPr descr="figures/fig5_crosstab.png" id="53" name="Picture"/>
                    <pic:cNvPicPr>
                      <a:picLocks noChangeArrowheads="1" noChangeAspect="1"/>
                    </pic:cNvPicPr>
                  </pic:nvPicPr>
                  <pic:blipFill>
                    <a:blip r:embed="rId51"/>
                    <a:stretch>
                      <a:fillRect/>
                    </a:stretch>
                  </pic:blipFill>
                  <pic:spPr bwMode="auto">
                    <a:xfrm>
                      <a:off x="0" y="0"/>
                      <a:ext cx="4027169" cy="1620035"/>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4"/>
    <w:bookmarkStart w:id="58" w:name="_293ccf73bda88ef4a8aefe1e6467cde8db0864d"/>
    <w:p>
      <w:pPr>
        <w:pStyle w:val="CaptionedFigure"/>
      </w:pPr>
      <w:r>
        <w:drawing>
          <wp:inline>
            <wp:extent cx="4314825" cy="2711858"/>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6" name="Picture"/>
            <a:graphic>
              <a:graphicData uri="http://schemas.openxmlformats.org/drawingml/2006/picture">
                <pic:pic>
                  <pic:nvPicPr>
                    <pic:cNvPr descr="figures/fig6_examples.png" id="57" name="Picture"/>
                    <pic:cNvPicPr>
                      <a:picLocks noChangeArrowheads="1" noChangeAspect="1"/>
                    </pic:cNvPicPr>
                  </pic:nvPicPr>
                  <pic:blipFill>
                    <a:blip r:embed="rId55"/>
                    <a:stretch>
                      <a:fillRect/>
                    </a:stretch>
                  </pic:blipFill>
                  <pic:spPr bwMode="auto">
                    <a:xfrm>
                      <a:off x="0" y="0"/>
                      <a:ext cx="4314825" cy="2711858"/>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58"/>
    <w:p>
      <w:pPr>
        <w:pStyle w:val="Heading2"/>
      </w:pPr>
      <w:bookmarkStart w:id="59" w:name="_c5aeddccea850b9a643e46238d68113be8a37e2"/>
      <w:r>
        <w:t xml:space="preserve">Sensitivity (RQ3)</w:t>
      </w:r>
      <w:bookmarkEnd w:id="59"/>
    </w:p>
    <w:p>
      <w:pPr>
        <w:pStyle w:val="FirstParagraph"/>
      </w:pPr>
      <w:r>
        <w:t xml:space="preserve">In Snowdon Towers the classification is insensitive to the consequence thresholds (κ</w:t>
      </w:r>
      <w:r>
        <w:rPr>
          <w:vertAlign w:val="subscript"/>
        </w:rPr>
        <w:t xml:space="preserve">w</w:t>
      </w:r>
      <w:r>
        <w:t xml:space="preserve"> </w:t>
      </w:r>
      <w:r>
        <w:t xml:space="preserve">≥ 0.97 for scaling between 0.5 and 2), to the loads (κ</w:t>
      </w:r>
      <w:r>
        <w:rPr>
          <w:vertAlign w:val="subscript"/>
        </w:rPr>
        <w:t xml:space="preserve">w</w:t>
      </w:r>
      <w:r>
        <w:t xml:space="preserve"> </w:t>
      </w:r>
      <w:r>
        <w:t xml:space="preserve">≥ 0.99) and to the tolerances (κ</w:t>
      </w:r>
      <w:r>
        <w:rPr>
          <w:vertAlign w:val="subscript"/>
        </w:rPr>
        <w:t xml:space="preserve">w</w:t>
      </w:r>
      <w:r>
        <w:t xml:space="preserve"> </w:t>
      </w:r>
      <w:r>
        <w:t xml:space="preserve">= 1.00) (Fig. 7). The weights α and β change no class, by construction, but reorder the ranking within classes (Kendall’s τ of the top 50 between 0.73 and 0.98). In both models the impact thresholds matter most: scaling them by 0.67 raises the Critical+Major set from 12 to 19 in Snowdon Towers and from 15 to 30 in Golden Nugget, and scaling by 1.5 reduces it to 6 and 2 (Jaccard 0.13–0.67, κ</w:t>
      </w:r>
      <w:r>
        <w:rPr>
          <w:vertAlign w:val="subscript"/>
        </w:rPr>
        <w:t xml:space="preserve">w</w:t>
      </w:r>
      <w:r>
        <w:t xml:space="preserve"> </w:t>
      </w:r>
      <w:r>
        <w:t xml:space="preserve">0.76–0.94). Golden Nugget is also sensitive to halving the consequence thresholds (28 Critical+Major, κ</w:t>
      </w:r>
      <w:r>
        <w:rPr>
          <w:vertAlign w:val="subscript"/>
        </w:rPr>
        <w:t xml:space="preserve">w</w:t>
      </w:r>
      <w:r>
        <w:t xml:space="preserve"> </w:t>
      </w:r>
      <w:r>
        <w:t xml:space="preserve">0.62), because many of its walls carry one to three bay-equivalents, and to doubling the contact tolerance to 100 mm (28, κ</w:t>
      </w:r>
      <w:r>
        <w:rPr>
          <w:vertAlign w:val="subscript"/>
        </w:rPr>
        <w:t xml:space="preserve">w</w:t>
      </w:r>
      <w:r>
        <w:t xml:space="preserve"> </w:t>
      </w:r>
      <w:r>
        <w:t xml:space="preserve">0.63), because more timber joints then count as supports. These parameters most need calibration against expert judgement.</w:t>
      </w:r>
    </w:p>
    <w:bookmarkStart w:id="63" w:name="_56127c34d9a1d9edcc283b9f66f6bc2407be489"/>
    <w:p>
      <w:pPr>
        <w:pStyle w:val="CaptionedFigure"/>
      </w:pPr>
      <w:r>
        <w:drawing>
          <wp:inline>
            <wp:extent cx="4602480" cy="190339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1" name="Picture"/>
            <a:graphic>
              <a:graphicData uri="http://schemas.openxmlformats.org/drawingml/2006/picture">
                <pic:pic>
                  <pic:nvPicPr>
                    <pic:cNvPr descr="figures/fig7_sensitivity.png" id="62" name="Picture"/>
                    <pic:cNvPicPr>
                      <a:picLocks noChangeArrowheads="1" noChangeAspect="1"/>
                    </pic:cNvPicPr>
                  </pic:nvPicPr>
                  <pic:blipFill>
                    <a:blip r:embed="rId60"/>
                    <a:stretch>
                      <a:fillRect/>
                    </a:stretch>
                  </pic:blipFill>
                  <pic:spPr bwMode="auto">
                    <a:xfrm>
                      <a:off x="0" y="0"/>
                      <a:ext cx="4602480" cy="190339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3"/>
    <w:p>
      <w:pPr>
        <w:pStyle w:val="Heading2"/>
      </w:pPr>
      <w:bookmarkStart w:id="64" w:name="_690ac15bab9f6e35ba0e97c6169e678dcabd9e8"/>
      <w:r>
        <w:t xml:space="preserve">Digital-twin performance (RQ4)</w:t>
      </w:r>
      <w:bookmarkEnd w:id="64"/>
    </w:p>
    <w:p>
      <w:pPr>
        <w:pStyle w:val="FirstParagraph"/>
      </w:pPr>
      <w:r>
        <w:t xml:space="preserve">The initial synchronisation of Snowdon Towers took 38 s. Over the 120 design changes, incremental updates took a median of 62 ms for MEP changes (95th percentile 143 ms) and 5.6 s for structural changes (95th percentile 6.4 s), against 23–27 s for a full recomputation (Fig. 8), so MEP changes were processed about 400 times faster. Structural updates are dominated by re-propagating loads (median 2.4 s) and by conservatively re-assessing every clash (3.2 s). At all six checkpoints the incremental state was identical to the full recomputation, with the same clash pairs, kinds, classes and</w:t>
      </w:r>
      <w:r>
        <w:t xml:space="preserve"> </w:t>
      </w:r>
      <m:oMath>
        <m:r>
          <m:t>η</m:t>
        </m:r>
      </m:oMath>
      <w:r>
        <w:t xml:space="preserve"> </w:t>
      </w:r>
      <w:r>
        <w:t xml:space="preserve">to six decimals. Video S1 shows the loop in Revit for one change: lowering a W18x86 beam by 150 mm created three hard clashes on it (Critical, Major and Minor), which appeared in the severity view 6.9 s after the edit (3.1 s in Revit and 3.4 s in the twin service), and restoring the beam returned the model to its 1,296 clashes.</w:t>
      </w:r>
    </w:p>
    <w:bookmarkStart w:id="68" w:name="_00e8d5c8babd08c9d0cfb8321989021e974aea9"/>
    <w:p>
      <w:pPr>
        <w:pStyle w:val="CaptionedFigure"/>
      </w:pPr>
      <w:r>
        <w:drawing>
          <wp:inline>
            <wp:extent cx="3739515" cy="1956650"/>
            <wp:effectExtent b="0" l="0" r="0" t="0"/>
            <wp:docPr descr="Fig. 8. Incremental update latency of the digital twin for 120 design changes per model; horizontal bars are medians, the dashed lines are the mean times of a full recomputation." title="" id="66" name="Picture"/>
            <a:graphic>
              <a:graphicData uri="http://schemas.openxmlformats.org/drawingml/2006/picture">
                <pic:pic>
                  <pic:nvPicPr>
                    <pic:cNvPr descr="figures/fig8_twin_latency.png" id="67" name="Picture"/>
                    <pic:cNvPicPr>
                      <a:picLocks noChangeArrowheads="1" noChangeAspect="1"/>
                    </pic:cNvPicPr>
                  </pic:nvPicPr>
                  <pic:blipFill>
                    <a:blip r:embed="rId65"/>
                    <a:stretch>
                      <a:fillRect/>
                    </a:stretch>
                  </pic:blipFill>
                  <pic:spPr bwMode="auto">
                    <a:xfrm>
                      <a:off x="0" y="0"/>
                      <a:ext cx="3739515" cy="1956650"/>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68"/>
    <w:p>
      <w:pPr>
        <w:pStyle w:val="Heading2"/>
      </w:pPr>
      <w:bookmarkStart w:id="69" w:name="_61bf0fe5c41a6277d2345f59d77154a57d59e34"/>
      <w:r>
        <w:t xml:space="preserve">Held-out case: Golden Nugget</w:t>
      </w:r>
      <w:bookmarkEnd w:id="69"/>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with 5,297 MEP elements (Table 3).</w:t>
      </w:r>
    </w:p>
    <w:p>
      <w:pPr>
        <w:pStyle w:val="BodyText"/>
      </w:pPr>
      <w:r>
        <w:rPr>
          <w:b/>
          <w:bCs/>
        </w:rPr>
        <w:t xml:space="preserve">Detection.</w:t>
      </w:r>
      <w:r>
        <w:t xml:space="preserve"> </w:t>
      </w:r>
      <w:r>
        <w:t xml:space="preserve">The framework found 338 hard clashes, 31 touches and 715 clearance clashes and, against Revit’s 357 reference pairs, achieved precision 0.962, recall 0.994 and F1 0.978 (Table 4). Of the 14 pairs not in Revit’s set, 10 are touches and 4 are small overlaps (1.6–22.5 cm³); the 2 pairs Revit reports but the framework does not are measured 11 and 20 mm apart, a discrepancy that could not be resolved from the exported geometry. Detection took 46 s, longer than the 32 s Revit needed, because detailed equipment families must be intersected component by component. The run also exposed a reproducibility defect: open components fell back to point sampling with unseeded random rays, so the twin’s incremental state differed from a full recomputation in 14 of 1,079 clash values. Convex-hull stand-ins and the fixed-direction parity test made all results reproducible.</w:t>
      </w:r>
    </w:p>
    <w:p>
      <w:pPr>
        <w:pStyle w:val="BodyText"/>
      </w:pPr>
      <w:r>
        <w:rPr>
          <w:b/>
          <w:bCs/>
        </w:rPr>
        <w:t xml:space="preserve">What the frozen method got wrong</w:t>
      </w:r>
      <w:r>
        <w:t xml:space="preserve"> </w:t>
      </w:r>
      <w:r>
        <w:t xml:space="preserve">(Table 6). (1) The reference bay load, then defined as the median beam load, collapsed to 0.3 kN, because in this flat-slab building the floors bear directly on walls and columns and the framing members receive little floor load. Nearly every member therefore fell into the global consequence level, and 65 hard clashes (19 %) were rated Critical or Major, almost twice the 35 of the local-impact ablation. (2) 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reversed the support, and long diagonal braces were treated as supports.</w:t>
      </w:r>
    </w:p>
    <w:p>
      <w:pPr>
        <w:pStyle w:val="BodyText"/>
      </w:pPr>
      <w:r>
        <w:rPr>
          <w:b/>
          <w:bCs/>
        </w:rPr>
        <w:t xml:space="preserve">Revision, applied to both models.</w:t>
      </w:r>
      <w:r>
        <w:t xml:space="preserve"> </w:t>
      </w:r>
      <m:oMath>
        <m:sSub>
          <m:e>
            <m:r>
              <m:t>D</m:t>
            </m:r>
          </m:e>
          <m:sub>
            <m:r>
              <m:rPr>
                <m:sty m:val="p"/>
              </m:rPr>
              <m:t>r</m:t>
            </m:r>
            <m:r>
              <m:rPr>
                <m:sty m:val="p"/>
              </m:rPr>
              <m:t>e</m:t>
            </m:r>
            <m:r>
              <m:rPr>
                <m:sty m:val="p"/>
              </m:rPr>
              <m:t>f</m:t>
            </m:r>
          </m:sub>
        </m:sSub>
      </m:oMath>
      <w:r>
        <w:t xml:space="preserve"> </w:t>
      </w:r>
      <w:r>
        <w:t xml:space="preserve">was redefined as the median load a member receives directly from a slab, which does not depend on how the floors are supported: 45.7 kN here and 51.0 kN (previously 54.4 kN) in Snowdon Towers. The beam–column rule now asks whether the vertical member continues below the beam, and braces never support gravity load (Table 1). The unsupported set fell to 53 members (8.3 %): 28 timber beams, 18 slabs, 6 walls and 1 column, whose supports the rules cannot infer from the modelled joinery. In Snowdon Towers the revision changed the unsupported set from 21 to 18 members and the class of three of the 687 hard clashes. Load was conserved exactly in both models (27.4 MN in Golden Nugget).</w:t>
      </w:r>
    </w:p>
    <w:bookmarkStart w:id="70"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0"/>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with κ</w:t>
      </w:r>
      <w:r>
        <w:rPr>
          <w:vertAlign w:val="subscript"/>
        </w:rPr>
        <w:t xml:space="preserve">w</w:t>
      </w:r>
      <w:r>
        <w:t xml:space="preserve"> </w:t>
      </w:r>
      <w:r>
        <w:t xml:space="preserve">= 0.07 and 0.06. The load path mattered more than in Snowdon Towers: it downgraded 23 of the 35 Critical or Major clashes of the local-impact ablation, all in lightly loaded members (9 walls, 6 timber purlins, 5 slab panels and 3 braces), and upgraded 3. The highest-ranked clashes are a 660 mm duct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(see “Validity and limitations”).</w:t>
      </w:r>
    </w:p>
    <w:p>
      <w:pPr>
        <w:pStyle w:val="BodyText"/>
      </w:pPr>
      <w:r>
        <w:rPr>
          <w:b/>
          <w:bCs/>
        </w:rPr>
        <w:t xml:space="preserve">Digital twin.</w:t>
      </w:r>
      <w:r>
        <w:t xml:space="preserve"> </w:t>
      </w:r>
      <w:r>
        <w:t xml:space="preserve">The incremental state was again identical to the full recomputation at all six checkpoints. MEP changes took a median of 37 ms (95th percentile 77 ms) and structural changes 2.5 s (95th percentile 3.5 s), against 23–29 s for a full recomputation; the initial synchronisation took 60 s.</w:t>
      </w:r>
    </w:p>
    <w:p>
      <w:pPr>
        <w:pStyle w:val="Heading1"/>
      </w:pPr>
      <w:bookmarkStart w:id="71" w:name="_discussion"/>
      <w:r>
        <w:t xml:space="preserve">Discussion</w:t>
      </w:r>
      <w:bookmarkEnd w:id="71"/>
    </w:p>
    <w:p>
      <w:pPr>
        <w:pStyle w:val="Heading2"/>
      </w:pPr>
      <w:bookmarkStart w:id="72" w:name="_9f22319be016bce1baaf898373a6554520269df"/>
      <w:r>
        <w:t xml:space="preserve">Implications for coordination practice</w:t>
      </w:r>
      <w:bookmarkEnd w:id="72"/>
    </w:p>
    <w:p>
      <w:pPr>
        <w:pStyle w:val="FirstParagraph"/>
      </w:pPr>
      <w:r>
        <w:t xml:space="preserve">Across the two buildings, geometry-only triage would prioritise 498 of 1,025 hard clashes (49 %) and category rules 350 (34 %), whereas the proposed method prioritises 27 (2.6 %). The disagreements run in both directions: most clashes that geometry flags are routine sleeved penetrations of slabs and walls, while several that it ranks Minor remove capacity where it matters, such as a duct clipping a girder flange or a mechanical unit cutting a joist chord. Each class can be traced to the governing action, the capacity removed, the demand at that location and the load that depends on the member, which gives an engineer something to check rather than a score to trust. These quantities could also serve as structural features for relevance classifiers learned from past coordination decisions</w:t>
      </w:r>
      <w:r>
        <w:t xml:space="preserve"> </w:t>
      </w:r>
      <w:r>
        <w:t xml:space="preserve">(</w:t>
      </w:r>
      <w:hyperlink w:anchor="_bcb3e6187df855698f5478690210076e621ae4f">
        <w:r>
          <w:rPr>
            <w:rStyle w:val="Hyperlink"/>
          </w:rPr>
          <w:t xml:space="preserve">Hu and Castro-Lacouture 2019</w:t>
        </w:r>
      </w:hyperlink>
      <w:r>
        <w:t xml:space="preserve">;</w:t>
      </w:r>
      <w:r>
        <w:t xml:space="preserve"> </w:t>
      </w:r>
      <w:hyperlink w:anchor="_93968d1863045126ca7246346c9d38d50c77a45">
        <w:r>
          <w:rPr>
            <w:rStyle w:val="Hyperlink"/>
          </w:rPr>
          <w:t xml:space="preserve">Koo et al. 2026</w:t>
        </w:r>
      </w:hyperlink>
      <w:r>
        <w:t xml:space="preserve">;</w:t>
      </w:r>
      <w:r>
        <w:t xml:space="preserve"> </w:t>
      </w:r>
      <w:hyperlink w:anchor="_9657f735728280ff8f3f6836cdef366d962b57b">
        <w:r>
          <w:rPr>
            <w:rStyle w:val="Hyperlink"/>
          </w:rPr>
          <w:t xml:space="preserve">Lin and Huang 2019</w:t>
        </w:r>
      </w:hyperlink>
      <w:r>
        <w:t xml:space="preserve">)</w:t>
      </w:r>
      <w:r>
        <w:t xml:space="preserve">.</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beam-and-slab construction, and</w:t>
      </w:r>
      <w:r>
        <w:t xml:space="preserve"> </w:t>
      </w:r>
      <w:r>
        <w:t xml:space="preserve">“a beam end at a column bears on the column”</w:t>
      </w:r>
      <w:r>
        <w:t xml:space="preserve"> </w:t>
      </w:r>
      <w:r>
        <w:t xml:space="preserve">presumes steel or concrete framing rather than timber joinery. Both held in the development case and failed silently in the held-out one, so automated structural reasoning on BIM data should be tested across structural systems, with reference quantities defined by structural function rather than by element type.</w:t>
      </w:r>
    </w:p>
    <w:p>
      <w:pPr>
        <w:pStyle w:val="BodyText"/>
      </w:pPr>
      <w:r>
        <w:t xml:space="preserve">For practice, updates in tens of milliseconds for MEP edits and a few seconds for structural edits allow clashes to be checked</w:t>
      </w:r>
      <w:r>
        <w:t xml:space="preserve"> </w:t>
      </w:r>
      <w:r>
        <w:rPr>
          <w:i/>
          <w:iCs/>
        </w:rPr>
        <w:t xml:space="preserve">while</w:t>
      </w:r>
      <w:r>
        <w:t xml:space="preserve"> </w:t>
      </w:r>
      <w:r>
        <w:t xml:space="preserve">modelling rather than in periodic coordination rounds, moving coordination toward the closed control loop described for construction digital twins</w:t>
      </w:r>
      <w:r>
        <w:t xml:space="preserve"> </w:t>
      </w:r>
      <w:r>
        <w:t xml:space="preserve">(</w:t>
      </w:r>
      <w:hyperlink w:anchor="_6c9cbe90a92aeeb1fb8ebdb61b9b42d82673916">
        <w:r>
          <w:rPr>
            <w:rStyle w:val="Hyperlink"/>
          </w:rPr>
          <w:t xml:space="preserve">Sacks et al. 2020</w:t>
        </w:r>
      </w:hyperlink>
      <w:r>
        <w:t xml:space="preserve">)</w:t>
      </w:r>
      <w:r>
        <w:t xml:space="preserve">.</w:t>
      </w:r>
    </w:p>
    <w:p>
      <w:pPr>
        <w:pStyle w:val="Heading2"/>
      </w:pPr>
      <w:bookmarkStart w:id="73" w:name="_69245639c5900261256dc97194d4fc1c1834599"/>
      <w:r>
        <w:t xml:space="preserve">Validity and limitations</w:t>
      </w:r>
      <w:bookmarkEnd w:id="73"/>
    </w:p>
    <w:p>
      <w:pPr>
        <w:pStyle w:val="FirstParagraph"/>
      </w:pPr>
      <w:r>
        <w:rPr>
          <w:b/>
          <w:bCs/>
        </w:rPr>
        <w:t xml:space="preserve">Severity has not yet been validated against expert judgement.</w:t>
      </w:r>
      <w:r>
        <w:t xml:space="preserve"> </w:t>
      </w:r>
      <w:r>
        <w:t xml:space="preserve">The classes rest on simplified mechanics and code provisions; the case studies show how they differ from geometry- and category-based triage, not that they are correct. The impact thresholds matter most and should be calibrated against expert ratings, for which a blinded rating instrument is released with the code. Until then, the classes are a transparent prioritisation aid, not a substitute for an engineer’s check.</w:t>
      </w:r>
    </w:p>
    <w:p>
      <w:pPr>
        <w:pStyle w:val="BodyText"/>
      </w:pPr>
      <w:r>
        <w:rPr>
          <w:b/>
          <w:bCs/>
        </w:rPr>
        <w:t xml:space="preserve">The mechanics are deliberately simple.</w:t>
      </w:r>
      <w:r>
        <w:t xml:space="preserve"> </w:t>
      </w:r>
      <w:r>
        <w:t xml:space="preserve">Demand shapes assume simply supported members under uniform load, capacities are fractions of the gross section because reinforcement and connection details are rarely modelled, and only gravity loads are considered. The lateral role of walls and braces is therefore not captured. This matters because, in the held-out case, 12 of the 23 Critical or Major clashes the load path downgraded were in walls or braces; the wall boundary-zone flag keeps such clashes visible. A finite-element check of the highest-ranked clashes is a natural next step.</w:t>
      </w:r>
    </w:p>
    <w:p>
      <w:pPr>
        <w:pStyle w:val="BodyText"/>
      </w:pPr>
      <w:r>
        <w:rPr>
          <w:b/>
          <w:bCs/>
        </w:rPr>
        <w:t xml:space="preserve">The load path inherits the quality of the model.</w:t>
      </w:r>
      <w:r>
        <w:t xml:space="preserve"> </w:t>
      </w:r>
      <w:r>
        <w:t xml:space="preserve">Supports are inferred from geometry, joins and member ends with fixed tolerances, and unsupported members are reported rather than guessed. For the 8.3 % of members left unsupported in the held-out case, mostly timber beams and slabs, the consequence is underestimated, and further structural systems (precast, cross-laminated timber, long-span trusses) may need additional orientation rules.</w:t>
      </w:r>
    </w:p>
    <w:p>
      <w:pPr>
        <w:pStyle w:val="BodyText"/>
      </w:pPr>
      <w:r>
        <w:rPr>
          <w:b/>
          <w:bCs/>
        </w:rPr>
        <w:t xml:space="preserve">Reference, scope and generalisability.</w:t>
      </w:r>
      <w:r>
        <w:t xml:space="preserve"> </w:t>
      </w:r>
      <w:r>
        <w:t xml:space="preserve">Detection is compared with Revit’s solid filter, an exact but independent implementation, not with ground truth. The twin couples the authoring model, not the physical building. Two sample models of one authoring platform were analysed, and the held-out one was also used to revise two rules, so it is no longer an unbiased test; real coordination datasets with documented decisions are needed.</w:t>
      </w:r>
    </w:p>
    <w:p>
      <w:pPr>
        <w:pStyle w:val="Heading1"/>
      </w:pPr>
      <w:bookmarkStart w:id="74" w:name="_conclusions"/>
      <w:r>
        <w:t xml:space="preserve">Conclusions</w:t>
      </w:r>
      <w:bookmarkEnd w:id="74"/>
    </w:p>
    <w:p>
      <w:pPr>
        <w:pStyle w:val="FirstParagraph"/>
      </w:pPr>
      <w:r>
        <w:t xml:space="preserve">This study presented a digital twin-enabled framework that detects structural clashes in federated Revit models and grades them by what they do to the structure, evaluated on two Revit 2027 sample buildings of different structural systems. The main findings are:</w:t>
      </w:r>
    </w:p>
    <w:p>
      <w:pPr>
        <w:pStyle w:val="Compact"/>
        <w:numPr>
          <w:ilvl w:val="0"/>
          <w:numId w:val="1005"/>
        </w:numPr>
      </w:pPr>
      <w:r>
        <w:t xml:space="preserve">Exact-mesh clash detection from Revit API data agreed closely with Revit’s own solid-intersection filter (F1 = 0.994 and 0.978) once full containment and multi-solid families are handled, and with an R-tree it scaled almost linearly to 82,000 elements.</w:t>
      </w:r>
    </w:p>
    <w:p>
      <w:pPr>
        <w:pStyle w:val="Compact"/>
        <w:numPr>
          <w:ilvl w:val="0"/>
          <w:numId w:val="1005"/>
        </w:numPr>
      </w:pPr>
      <w:r>
        <w:t xml:space="preserve">A gravity load-path graph can be built automatically from BIM geometry, Revit joins and member ends, and it conserves load exactly. It also flags members without a modelled support (1.5 % and 8.3 %).</w:t>
      </w:r>
    </w:p>
    <w:p>
      <w:pPr>
        <w:pStyle w:val="Compact"/>
        <w:numPr>
          <w:ilvl w:val="0"/>
          <w:numId w:val="1005"/>
        </w:numPr>
      </w:pPr>
      <w:r>
        <w:t xml:space="preserve">Load path-aware grading prioritised 27 of 1,025 hard clashes (2.6 %), against 49 % for geometry-only triage, and the two disagreed in both directions, so penetration depth is a poor proxy for structural severity.</w:t>
      </w:r>
    </w:p>
    <w:p>
      <w:pPr>
        <w:pStyle w:val="Compact"/>
        <w:numPr>
          <w:ilvl w:val="0"/>
          <w:numId w:val="1005"/>
        </w:numPr>
      </w:pPr>
      <w:r>
        <w:t xml:space="preserve">The classes were robust to loads and tolerances in the development case but sensitive to the impact thresholds, and in the held-out case also to the consequence thresholds and the contact tolerance, which therefore need calibration against expert judgement.</w:t>
      </w:r>
    </w:p>
    <w:p>
      <w:pPr>
        <w:pStyle w:val="Compact"/>
        <w:numPr>
          <w:ilvl w:val="0"/>
          <w:numId w:val="1005"/>
        </w:numPr>
      </w:pPr>
      <w:r>
        <w:t xml:space="preserve">The held-out building exposed rules that assumed a structural system; redefining them by structural function corrected them and changed three of 687 classes in the development case.</w:t>
      </w:r>
    </w:p>
    <w:p>
      <w:pPr>
        <w:pStyle w:val="Compact"/>
        <w:numPr>
          <w:ilvl w:val="0"/>
          <w:numId w:val="1005"/>
        </w:numPr>
      </w:pPr>
      <w:r>
        <w:t xml:space="preserve">As a digital twin, the analysis updated in tens of milliseconds for MEP changes and a few seconds for structural changes, with results identical to full recomputation, and wrote its assessment back into Revit.</w:t>
      </w:r>
    </w:p>
    <w:p>
      <w:pPr>
        <w:pStyle w:val="FirstParagraph"/>
      </w:pPr>
      <w:r>
        <w:t xml:space="preserve">The most important next step is to validate the severity classes against blinded expert ratings, for which an instrument and analysis scripts are released with the code. Other direct extensions are finite-element verification of the top-ranked clashes, lateral load paths, physical-state data (scans, sensors, construction progress) through the same change interface, and proposing the cheapest reroute that removes a Critical clash.</w:t>
      </w:r>
    </w:p>
    <w:p>
      <w:pPr>
        <w:pStyle w:val="Heading1"/>
      </w:pPr>
      <w:bookmarkStart w:id="75" w:name="_c30442495e49d505ce783f2872e0b55d61d2ddf"/>
      <w:r>
        <w:t xml:space="preserve">Data Availability Statement</w:t>
      </w:r>
      <w:bookmarkEnd w:id="75"/>
    </w:p>
    <w:p>
      <w:pPr>
        <w:pStyle w:val="FirstParagraph"/>
      </w:pPr>
      <w:r>
        <w:t xml:space="preserve">Some or all data, models, or code generated or used during the study are available in a repository online in accordance with funder data retention policies. The source code (the pyRevit extension and the Python analysis package), the experiment scripts, the result tables, the figures, the supplemental video and the expert rating instrument are available at</w:t>
      </w:r>
      <w:r>
        <w:t xml:space="preserve"> </w:t>
      </w:r>
      <w:hyperlink r:id="rId76">
        <w:r>
          <w:rPr>
            <w:rStyle w:val="Hyperlink"/>
          </w:rPr>
          <w:t xml:space="preserve">https://github.com/Darkiii-2514/DT-Clash-Detection-Paper</w:t>
        </w:r>
      </w:hyperlink>
      <w:r>
        <w:t xml:space="preserve">.</w:t>
      </w:r>
    </w:p>
    <w:p>
      <w:pPr>
        <w:pStyle w:val="BodyText"/>
      </w:pPr>
      <w:r>
        <w:t xml:space="preserve">Some or all data, models, or code used during the study were provided by a third party: the two case-study models, the Snowdon Towers sample (structural model with its architectural, HVAC, plumbing, electrical and site links) and BIM_Projekt_Golden_Nugget (Architektur_und_Ingenieurbau model with its Gebaeudetechnik link), which are sample files distributed by Autodesk, Inc. with Autodesk Revit 2027. Direct requests for these materials may be made to the provider as indicated in the Acknowledgments.</w:t>
      </w:r>
    </w:p>
    <w:p>
      <w:pPr>
        <w:pStyle w:val="BodyText"/>
      </w:pPr>
      <w:r>
        <w:t xml:space="preserve">Some or all data, models, or code generated or used during the study are proprietary or confidential in nature and may only be provided with restrictions: the two case-study models are distributed under the Autodesk Revit 2027 software licence and are therefore not redistributed with this study. They are installed with Revit 2027, and the released extraction scripts regenerate the model exports used in the analysis.</w:t>
      </w:r>
    </w:p>
    <w:p>
      <w:pPr>
        <w:pStyle w:val="Heading1"/>
      </w:pPr>
      <w:bookmarkStart w:id="77" w:name="_acknowledgments"/>
      <w:r>
        <w:t xml:space="preserve">Acknowledgments</w:t>
      </w:r>
      <w:bookmarkEnd w:id="77"/>
    </w:p>
    <w:p>
      <w:pPr>
        <w:pStyle w:val="FirstParagraph"/>
      </w:pPr>
      <w:r>
        <w:t xml:space="preserve">The two case-study models are sample files provided by Autodesk, Inc. with Autodesk Revit 2027 and are installed in the software’s Samples folder; requests for these models may be directed to Autodesk, Inc. This research did not receive any specific grant from funding agencies in the public, commercial, or not-for-profit sectors. Claude Code with the Claude Opus 5.5 model (Anthropic) assisted with software development, experiment execution, the literature search, reference formatting, and drafting and revising the manuscript text and captions, as described in the Implementation section. The authors reviewed and edited the content as needed and take full responsibility for the content of the article.</w:t>
      </w:r>
    </w:p>
    <w:p>
      <w:pPr>
        <w:pStyle w:val="Heading1"/>
      </w:pPr>
      <w:bookmarkStart w:id="78" w:name="_e104f56851e7fef25d1b0ef76bf520bb92cebd6"/>
      <w:r>
        <w:t xml:space="preserve">Supplemental Materials</w:t>
      </w:r>
      <w:bookmarkEnd w:id="78"/>
    </w:p>
    <w:p>
      <w:pPr>
        <w:pStyle w:val="FirstParagraph"/>
      </w:pPr>
      <w:r>
        <w:t xml:space="preserve">Video S1 is available at</w:t>
      </w:r>
      <w:r>
        <w:t xml:space="preserve"> </w:t>
      </w:r>
      <w:hyperlink r:id="rId79">
        <w:r>
          <w:rPr>
            <w:rStyle w:val="Hyperlink"/>
          </w:rPr>
          <w:t xml:space="preserve">https://github.com/Darkiii-2514/DT-Clash-Detection-Paper/blob/master/paper/supplementary/Video_1_digital_twin_demo.mp4</w:t>
        </w:r>
      </w:hyperlink>
      <w:r>
        <w:t xml:space="preserve">. It shows the digital-twin loop in Revit for one structural change; the frames were exported from Revit after each step, and the times shown were measured.</w:t>
      </w:r>
    </w:p>
    <w:p>
      <w:pPr>
        <w:pStyle w:val="Heading1"/>
      </w:pPr>
      <w:bookmarkStart w:id="80" w:name="_references"/>
      <w:r>
        <w:t xml:space="preserve">References</w:t>
      </w:r>
      <w:bookmarkEnd w:id="80"/>
    </w:p>
    <w:bookmarkStart w:id="128" w:name="_refs"/>
    <w:bookmarkStart w:id="81" w:name="_a0a45fa49c0c13b82b94c6955ca0eec66f6d1df"/>
    <w:p>
      <w:pPr>
        <w:pStyle w:val="Bibliography"/>
        <w:ind w:left="720" w:hanging="720"/>
      </w:pPr>
      <w:r>
        <w:t xml:space="preserve">ACI Committee 318. 2019.</w:t>
      </w:r>
      <w:r>
        <w:t xml:space="preserve"> </w:t>
      </w:r>
      <w:r>
        <w:rPr>
          <w:i/>
          <w:iCs/>
        </w:rPr>
        <w:t xml:space="preserve">Building code requirements for structural concrete (</w:t>
      </w:r>
      <w:r>
        <w:rPr>
          <w:i/>
          <w:iCs/>
        </w:rPr>
        <w:t xml:space="preserve">ACI</w:t>
      </w:r>
      <w:r>
        <w:rPr>
          <w:i/>
          <w:iCs/>
        </w:rPr>
        <w:t xml:space="preserve"> </w:t>
      </w:r>
      <w:r>
        <w:rPr>
          <w:i/>
          <w:iCs/>
        </w:rPr>
        <w:t xml:space="preserve">318-19) and commentary (</w:t>
      </w:r>
      <w:r>
        <w:rPr>
          <w:i/>
          <w:iCs/>
        </w:rPr>
        <w:t xml:space="preserve">ACI</w:t>
      </w:r>
      <w:r>
        <w:rPr>
          <w:i/>
          <w:iCs/>
        </w:rPr>
        <w:t xml:space="preserve"> </w:t>
      </w:r>
      <w:r>
        <w:rPr>
          <w:i/>
          <w:iCs/>
        </w:rPr>
        <w:t xml:space="preserve">318R-19)</w:t>
      </w:r>
      <w:r>
        <w:t xml:space="preserve">. Farmington Hills, MI: American Concrete Institute.</w:t>
      </w:r>
    </w:p>
    <w:bookmarkEnd w:id="81"/>
    <w:bookmarkStart w:id="83" w:name="_32f7d1420d0bdfaa9e57092a859aa66a5983a25"/>
    <w:p>
      <w:pPr>
        <w:pStyle w:val="Bibliography"/>
        <w:ind w:left="720" w:hanging="720"/>
      </w:pPr>
      <w:r>
        <w:t xml:space="preserve">Ahmed, A., M. M. Fayyadh, S. Naganathan, and K. Nasharuddin. 2012.</w:t>
      </w:r>
      <w:r>
        <w:t xml:space="preserve"> </w:t>
      </w:r>
      <w:r>
        <w:t xml:space="preserve">“Reinforced concrete beams with web openings: A state of the art review.”</w:t>
      </w:r>
      <w:r>
        <w:t xml:space="preserve"> </w:t>
      </w:r>
      <w:r>
        <w:rPr>
          <w:i/>
          <w:iCs/>
        </w:rPr>
        <w:t xml:space="preserve">Materials &amp; Design</w:t>
      </w:r>
      <w:r>
        <w:t xml:space="preserve">, 40: 90–102.</w:t>
      </w:r>
      <w:r>
        <w:t xml:space="preserve"> </w:t>
      </w:r>
      <w:hyperlink r:id="rId82">
        <w:r>
          <w:rPr>
            <w:rStyle w:val="Hyperlink"/>
          </w:rPr>
          <w:t xml:space="preserve">https://doi.org/10.1016/j.matdes.2012.03.001</w:t>
        </w:r>
      </w:hyperlink>
      <w:r>
        <w:t xml:space="preserve">.</w:t>
      </w:r>
    </w:p>
    <w:bookmarkEnd w:id="83"/>
    <w:bookmarkStart w:id="85" w:name="_7304767673e69689413816cb84859bd2be474a3"/>
    <w:p>
      <w:pPr>
        <w:pStyle w:val="Bibliography"/>
        <w:ind w:left="720" w:hanging="720"/>
      </w:pPr>
      <w:r>
        <w:t xml:space="preserve">Ailem, R., and C. Boton. 2026.</w:t>
      </w:r>
      <w:r>
        <w:t xml:space="preserve"> </w:t>
      </w:r>
      <w:r>
        <w:t xml:space="preserve">“Automating clash relevance filtering in BIM-based multidisciplinary coordination using machine learning.”</w:t>
      </w:r>
      <w:r>
        <w:t xml:space="preserve"> </w:t>
      </w:r>
      <w:r>
        <w:rPr>
          <w:i/>
          <w:iCs/>
        </w:rPr>
        <w:t xml:space="preserve">Automation in Construction</w:t>
      </w:r>
      <w:r>
        <w:t xml:space="preserve">, 181: 106644.</w:t>
      </w:r>
      <w:r>
        <w:t xml:space="preserve"> </w:t>
      </w:r>
      <w:hyperlink r:id="rId84">
        <w:r>
          <w:rPr>
            <w:rStyle w:val="Hyperlink"/>
          </w:rPr>
          <w:t xml:space="preserve">https://doi.org/10.1016/j.autcon.2025.106644</w:t>
        </w:r>
      </w:hyperlink>
      <w:r>
        <w:t xml:space="preserve">.</w:t>
      </w:r>
    </w:p>
    <w:bookmarkEnd w:id="85"/>
    <w:bookmarkStart w:id="87" w:name="_c12c19ede63a21dbfc9d3d5050f82292c584198"/>
    <w:p>
      <w:pPr>
        <w:pStyle w:val="Bibliography"/>
        <w:ind w:left="720" w:hanging="720"/>
      </w:pPr>
      <w:r>
        <w:t xml:space="preserve">Akponeware, A., and Z. Adamu. 2017.</w:t>
      </w:r>
      <w:r>
        <w:t xml:space="preserve"> </w:t>
      </w:r>
      <w:r>
        <w:t xml:space="preserve">“Clash detection or clash avoidance? An investigation into coordination problems in 3D BIM.”</w:t>
      </w:r>
      <w:r>
        <w:t xml:space="preserve"> </w:t>
      </w:r>
      <w:r>
        <w:rPr>
          <w:i/>
          <w:iCs/>
        </w:rPr>
        <w:t xml:space="preserve">Buildings</w:t>
      </w:r>
      <w:r>
        <w:t xml:space="preserve">, 7 (3): 75.</w:t>
      </w:r>
      <w:r>
        <w:t xml:space="preserve"> </w:t>
      </w:r>
      <w:hyperlink r:id="rId86">
        <w:r>
          <w:rPr>
            <w:rStyle w:val="Hyperlink"/>
          </w:rPr>
          <w:t xml:space="preserve">https://doi.org/10.3390/buildings7030075</w:t>
        </w:r>
      </w:hyperlink>
      <w:r>
        <w:t xml:space="preserve">.</w:t>
      </w:r>
    </w:p>
    <w:bookmarkEnd w:id="87"/>
    <w:bookmarkStart w:id="89" w:name="_dc5878af5290816ea0fa94a2c9eba35c6f6822e"/>
    <w:p>
      <w:pPr>
        <w:pStyle w:val="Bibliography"/>
        <w:ind w:left="720" w:hanging="720"/>
      </w:pPr>
      <w:r>
        <w:t xml:space="preserve">American Society of Civil Engineers. 2022.</w:t>
      </w:r>
      <w:r>
        <w:t xml:space="preserve"> </w:t>
      </w:r>
      <w:hyperlink r:id="rId88">
        <w:r>
          <w:rPr>
            <w:rStyle w:val="Hyperlink"/>
            <w:i/>
            <w:iCs/>
          </w:rPr>
          <w:t xml:space="preserve">Minimum design loads and associated criteria for buildings and other structures (</w:t>
        </w:r>
        <w:r>
          <w:rPr>
            <w:rStyle w:val="Hyperlink"/>
            <w:i/>
            <w:iCs/>
          </w:rPr>
          <w:t xml:space="preserve">ASCE/SEI</w:t>
        </w:r>
        <w:r>
          <w:rPr>
            <w:rStyle w:val="Hyperlink"/>
            <w:i/>
            <w:iCs/>
          </w:rPr>
          <w:t xml:space="preserve"> </w:t>
        </w:r>
        <w:r>
          <w:rPr>
            <w:rStyle w:val="Hyperlink"/>
            <w:i/>
            <w:iCs/>
          </w:rPr>
          <w:t xml:space="preserve">7-22)</w:t>
        </w:r>
      </w:hyperlink>
      <w:r>
        <w:t xml:space="preserve">. Reston, VA: American Society of Civil Engineers.</w:t>
      </w:r>
    </w:p>
    <w:bookmarkEnd w:id="89"/>
    <w:bookmarkStart w:id="90" w:name="_11abfe69a8c7cb566f978a5aabb0fe1e9f62b53"/>
    <w:p>
      <w:pPr>
        <w:pStyle w:val="Bibliography"/>
        <w:ind w:left="720" w:hanging="720"/>
      </w:pPr>
      <w:r>
        <w:t xml:space="preserve">Autodesk. 2026.</w:t>
      </w:r>
      <w:r>
        <w:t xml:space="preserve"> </w:t>
      </w:r>
      <w:r>
        <w:t xml:space="preserve">“Revit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w:t>
      </w:r>
      <w:r>
        <w:t xml:space="preserve"> </w:t>
      </w:r>
      <w:r>
        <w:t xml:space="preserve">Autodesk Revit 2027 SDK.</w:t>
      </w:r>
    </w:p>
    <w:bookmarkEnd w:id="90"/>
    <w:bookmarkStart w:id="92" w:name="_6f6548ae06c2811483e3ad89ba771a65205faca"/>
    <w:p>
      <w:pPr>
        <w:pStyle w:val="Bibliography"/>
        <w:ind w:left="720" w:hanging="720"/>
      </w:pPr>
      <w:r>
        <w:t xml:space="preserve">Bitaraf, I., A. Salimpour, P. Elmi, and A. A. Shirzadi Javid. 2024.</w:t>
      </w:r>
      <w:r>
        <w:t xml:space="preserve"> </w:t>
      </w:r>
      <w:r>
        <w:t xml:space="preserve">“Improved building information modeling based method for prioritizing clash detection in the building construction design phase.”</w:t>
      </w:r>
      <w:r>
        <w:t xml:space="preserve"> </w:t>
      </w:r>
      <w:r>
        <w:rPr>
          <w:i/>
          <w:iCs/>
        </w:rPr>
        <w:t xml:space="preserve">Buildings</w:t>
      </w:r>
      <w:r>
        <w:t xml:space="preserve">, 14 (11): 3611.</w:t>
      </w:r>
      <w:r>
        <w:t xml:space="preserve"> </w:t>
      </w:r>
      <w:hyperlink r:id="rId91">
        <w:r>
          <w:rPr>
            <w:rStyle w:val="Hyperlink"/>
          </w:rPr>
          <w:t xml:space="preserve">https://doi.org/10.3390/buildings14113611</w:t>
        </w:r>
      </w:hyperlink>
      <w:r>
        <w:t xml:space="preserve">.</w:t>
      </w:r>
    </w:p>
    <w:bookmarkEnd w:id="92"/>
    <w:bookmarkStart w:id="94" w:name="_a27a66ad21d549ee4ca693bf7f3758b6884c49a"/>
    <w:p>
      <w:pPr>
        <w:pStyle w:val="Bibliography"/>
        <w:ind w:left="720" w:hanging="720"/>
      </w:pPr>
      <w:r>
        <w:t xml:space="preserve">Boje, C., A. Guerriero, S. Kubicki, and Y. Rezgui. 2020.</w:t>
      </w:r>
      <w:r>
        <w:t xml:space="preserve"> </w:t>
      </w:r>
      <w:r>
        <w:t xml:space="preserve">“Towards a semantic construction digital twin: Directions for future research.”</w:t>
      </w:r>
      <w:r>
        <w:t xml:space="preserve"> </w:t>
      </w:r>
      <w:r>
        <w:rPr>
          <w:i/>
          <w:iCs/>
        </w:rPr>
        <w:t xml:space="preserve">Automation in Construction</w:t>
      </w:r>
      <w:r>
        <w:t xml:space="preserve">, 114: 103179.</w:t>
      </w:r>
      <w:r>
        <w:t xml:space="preserve"> </w:t>
      </w:r>
      <w:hyperlink r:id="rId93">
        <w:r>
          <w:rPr>
            <w:rStyle w:val="Hyperlink"/>
          </w:rPr>
          <w:t xml:space="preserve">https://doi.org/10.1016/j.autcon.2020.103179</w:t>
        </w:r>
      </w:hyperlink>
      <w:r>
        <w:t xml:space="preserve">.</w:t>
      </w:r>
    </w:p>
    <w:bookmarkEnd w:id="94"/>
    <w:bookmarkStart w:id="96" w:name="_74920588d189e587f41aa48e3e3d0d9ee5bafa1"/>
    <w:p>
      <w:pPr>
        <w:pStyle w:val="Bibliography"/>
        <w:ind w:left="720" w:hanging="720"/>
      </w:pPr>
      <w:r>
        <w:t xml:space="preserve">Borkowski, A. S., and A. Kubrat. 2026.</w:t>
      </w:r>
      <w:r>
        <w:t xml:space="preserve"> </w:t>
      </w:r>
      <w:r>
        <w:t xml:space="preserve">“A conceptual AI-based framework for clash triage in building information modeling (BIM): Towards automated prioritization in complex construction projects.”</w:t>
      </w:r>
      <w:r>
        <w:t xml:space="preserve"> </w:t>
      </w:r>
      <w:r>
        <w:rPr>
          <w:i/>
          <w:iCs/>
        </w:rPr>
        <w:t xml:space="preserve">Buildings</w:t>
      </w:r>
      <w:r>
        <w:t xml:space="preserve">, 16 (4): 690.</w:t>
      </w:r>
      <w:r>
        <w:t xml:space="preserve"> </w:t>
      </w:r>
      <w:hyperlink r:id="rId95">
        <w:r>
          <w:rPr>
            <w:rStyle w:val="Hyperlink"/>
          </w:rPr>
          <w:t xml:space="preserve">https://doi.org/10.3390/buildings16040690</w:t>
        </w:r>
      </w:hyperlink>
      <w:r>
        <w:t xml:space="preserve">.</w:t>
      </w:r>
    </w:p>
    <w:bookmarkEnd w:id="96"/>
    <w:bookmarkStart w:id="98" w:name="_0d11f79aa28cd9deb2c05ea92254aebbdb6c879"/>
    <w:p>
      <w:pPr>
        <w:pStyle w:val="Bibliography"/>
        <w:ind w:left="720" w:hanging="720"/>
      </w:pPr>
      <w:r>
        <w:t xml:space="preserve">Chahrour, R., M. A. Hafeez, A. M. Ahmad, H. I. Sulieman, H. Dawood, S. Rodriguez-Trejo, M. Kassem, K. K. Naji, and N. Dawood. 2020.</w:t>
      </w:r>
      <w:r>
        <w:t xml:space="preserve"> </w:t>
      </w:r>
      <w:r>
        <w:t xml:space="preserve">“Cost-benefit analysis of BIM-enabled design clash detection and resolution.”</w:t>
      </w:r>
      <w:r>
        <w:t xml:space="preserve"> </w:t>
      </w:r>
      <w:r>
        <w:rPr>
          <w:i/>
          <w:iCs/>
        </w:rPr>
        <w:t xml:space="preserve">Construction Management and Economics</w:t>
      </w:r>
      <w:r>
        <w:t xml:space="preserve">, 39 (1): 55–72.</w:t>
      </w:r>
      <w:r>
        <w:t xml:space="preserve"> </w:t>
      </w:r>
      <w:hyperlink r:id="rId97">
        <w:r>
          <w:rPr>
            <w:rStyle w:val="Hyperlink"/>
          </w:rPr>
          <w:t xml:space="preserve">https://doi.org/10.1080/01446193.2020.1802768</w:t>
        </w:r>
      </w:hyperlink>
      <w:r>
        <w:t xml:space="preserve">.</w:t>
      </w:r>
    </w:p>
    <w:bookmarkEnd w:id="98"/>
    <w:bookmarkStart w:id="99" w:name="_3fd180c218df11ad837b279d4feeebf3c04c7a8"/>
    <w:p>
      <w:pPr>
        <w:pStyle w:val="Bibliography"/>
        <w:ind w:left="720" w:hanging="720"/>
      </w:pPr>
      <w:r>
        <w:t xml:space="preserve">Darwin, D. 1990.</w:t>
      </w:r>
      <w:r>
        <w:t xml:space="preserve"> </w:t>
      </w:r>
      <w:r>
        <w:rPr>
          <w:i/>
          <w:iCs/>
        </w:rPr>
        <w:t xml:space="preserve">Steel and composite beams with web openings</w:t>
      </w:r>
      <w:r>
        <w:t xml:space="preserve">. AISC steel design guide 2. Chicago, IL: American Institute of Steel Construction.</w:t>
      </w:r>
    </w:p>
    <w:bookmarkEnd w:id="99"/>
    <w:bookmarkStart w:id="101" w:name="_611a09f4bca5c45893d42075e9adc7f0eff85ce"/>
    <w:p>
      <w:pPr>
        <w:pStyle w:val="Bibliography"/>
        <w:ind w:left="720" w:hanging="720"/>
      </w:pPr>
      <w:r>
        <w:t xml:space="preserve">Eastman, C., J. Lee, Y. Jeong, and J. Lee. 2009.</w:t>
      </w:r>
      <w:r>
        <w:t xml:space="preserve"> </w:t>
      </w:r>
      <w:r>
        <w:t xml:space="preserve">“Automatic rule-based checking of building designs.”</w:t>
      </w:r>
      <w:r>
        <w:t xml:space="preserve"> </w:t>
      </w:r>
      <w:r>
        <w:rPr>
          <w:i/>
          <w:iCs/>
        </w:rPr>
        <w:t xml:space="preserve">Automation in Construction</w:t>
      </w:r>
      <w:r>
        <w:t xml:space="preserve">, 18 (8): 1011–1033.</w:t>
      </w:r>
      <w:r>
        <w:t xml:space="preserve"> </w:t>
      </w:r>
      <w:hyperlink r:id="rId100">
        <w:r>
          <w:rPr>
            <w:rStyle w:val="Hyperlink"/>
          </w:rPr>
          <w:t xml:space="preserve">https://doi.org/10.1016/j.autcon.2009.07.002</w:t>
        </w:r>
      </w:hyperlink>
      <w:r>
        <w:t xml:space="preserve">.</w:t>
      </w:r>
    </w:p>
    <w:bookmarkEnd w:id="101"/>
    <w:bookmarkStart w:id="103" w:name="_7dc52f09005060e74a2fefac7f40b3aaeceeb80"/>
    <w:p>
      <w:pPr>
        <w:pStyle w:val="Bibliography"/>
        <w:ind w:left="720" w:hanging="720"/>
      </w:pPr>
      <w:r>
        <w:t xml:space="preserve">Guttman, A. 1984.</w:t>
      </w:r>
      <w:r>
        <w:t xml:space="preserve"> </w:t>
      </w:r>
      <w:r>
        <w:t xml:space="preserve">“R-trees: A dynamic index structure for spatial searching.”</w:t>
      </w:r>
      <w:r>
        <w:t xml:space="preserve"> </w:t>
      </w:r>
      <w:r>
        <w:rPr>
          <w:i/>
          <w:iCs/>
        </w:rPr>
        <w:t xml:space="preserve">ACM SIGMOD Record</w:t>
      </w:r>
      <w:r>
        <w:t xml:space="preserve">, 14 (2): 47–57.</w:t>
      </w:r>
      <w:r>
        <w:t xml:space="preserve"> </w:t>
      </w:r>
      <w:hyperlink r:id="rId102">
        <w:r>
          <w:rPr>
            <w:rStyle w:val="Hyperlink"/>
          </w:rPr>
          <w:t xml:space="preserve">https://doi.org/10.1145/971697.602266</w:t>
        </w:r>
      </w:hyperlink>
      <w:r>
        <w:t xml:space="preserve">.</w:t>
      </w:r>
    </w:p>
    <w:bookmarkEnd w:id="103"/>
    <w:bookmarkStart w:id="104" w:name="_48204575c0e490be04040be2e399e2ed1a2a995"/>
    <w:p>
      <w:pPr>
        <w:pStyle w:val="Bibliography"/>
        <w:ind w:left="720" w:hanging="720"/>
      </w:pPr>
      <w:r>
        <w:t xml:space="preserve">Hagberg, A. A., D. A. Schult, and P. J. Swart. 2008.</w:t>
      </w:r>
      <w:r>
        <w:t xml:space="preserve"> </w:t>
      </w:r>
      <w:r>
        <w:t xml:space="preserve">“Exploring network structure, dynamics, and function using</w:t>
      </w:r>
      <w:r>
        <w:t xml:space="preserve"> </w:t>
      </w:r>
      <w:r>
        <w:t xml:space="preserve">NetworkX</w:t>
      </w:r>
      <w:r>
        <w:t xml:space="preserve">.”</w:t>
      </w:r>
      <w:r>
        <w:t xml:space="preserve"> </w:t>
      </w:r>
      <w:r>
        <w:t xml:space="preserve">In:</w:t>
      </w:r>
      <w:r>
        <w:t xml:space="preserve"> </w:t>
      </w:r>
      <w:r>
        <w:rPr>
          <w:i/>
          <w:iCs/>
        </w:rPr>
        <w:t xml:space="preserve">Proceedings of the 7th python in science conference (SciPy 2008)</w:t>
      </w:r>
      <w:r>
        <w:t xml:space="preserve">, 11–15.</w:t>
      </w:r>
    </w:p>
    <w:bookmarkEnd w:id="104"/>
    <w:bookmarkStart w:id="106" w:name="_bcb3e6187df855698f5478690210076e621ae4f"/>
    <w:p>
      <w:pPr>
        <w:pStyle w:val="Bibliography"/>
        <w:ind w:left="720" w:hanging="720"/>
      </w:pPr>
      <w:r>
        <w:t xml:space="preserve">Hu, Y., and D. Castro-Lacouture. 2019.</w:t>
      </w:r>
      <w:r>
        <w:t xml:space="preserve"> </w:t>
      </w:r>
      <w:r>
        <w:t xml:space="preserve">“Clash relevance prediction based on machine learning.”</w:t>
      </w:r>
      <w:r>
        <w:t xml:space="preserve"> </w:t>
      </w:r>
      <w:r>
        <w:rPr>
          <w:i/>
          <w:iCs/>
        </w:rPr>
        <w:t xml:space="preserve">Journal of Computing in Civil Engineering</w:t>
      </w:r>
      <w:r>
        <w:t xml:space="preserve">, 33 (2).</w:t>
      </w:r>
      <w:r>
        <w:t xml:space="preserve"> </w:t>
      </w:r>
      <w:hyperlink r:id="rId105">
        <w:r>
          <w:rPr>
            <w:rStyle w:val="Hyperlink"/>
          </w:rPr>
          <w:t xml:space="preserve">https://doi.org/10.1061/(asce)cp.1943-5487.0000810</w:t>
        </w:r>
      </w:hyperlink>
      <w:r>
        <w:t xml:space="preserve">.</w:t>
      </w:r>
    </w:p>
    <w:bookmarkEnd w:id="106"/>
    <w:bookmarkStart w:id="108" w:name="_7a16f1d8cb96f9d52ac115dc59ed134d29f1ea5"/>
    <w:p>
      <w:pPr>
        <w:pStyle w:val="Bibliography"/>
        <w:ind w:left="720" w:hanging="720"/>
      </w:pPr>
      <w:r>
        <w:t xml:space="preserve">Hu, Y., D. Castro-Lacouture, and C. M. Eastman. 2019.</w:t>
      </w:r>
      <w:r>
        <w:t xml:space="preserve"> </w:t>
      </w:r>
      <w:r>
        <w:t xml:space="preserve">“Holistic clash detection improvement using a component dependent network in BIM projects.”</w:t>
      </w:r>
      <w:r>
        <w:t xml:space="preserve"> </w:t>
      </w:r>
      <w:r>
        <w:rPr>
          <w:i/>
          <w:iCs/>
        </w:rPr>
        <w:t xml:space="preserve">Automation in Construction</w:t>
      </w:r>
      <w:r>
        <w:t xml:space="preserve">, 105: 102832.</w:t>
      </w:r>
      <w:r>
        <w:t xml:space="preserve"> </w:t>
      </w:r>
      <w:hyperlink r:id="rId107">
        <w:r>
          <w:rPr>
            <w:rStyle w:val="Hyperlink"/>
          </w:rPr>
          <w:t xml:space="preserve">https://doi.org/10.1016/j.autcon.2019.102832</w:t>
        </w:r>
      </w:hyperlink>
      <w:r>
        <w:t xml:space="preserve">.</w:t>
      </w:r>
    </w:p>
    <w:bookmarkEnd w:id="108"/>
    <w:bookmarkStart w:id="110" w:name="_93968d1863045126ca7246346c9d38d50c77a45"/>
    <w:p>
      <w:pPr>
        <w:pStyle w:val="Bibliography"/>
        <w:ind w:left="720" w:hanging="720"/>
      </w:pPr>
      <w:r>
        <w:t xml:space="preserve">Koo, H. J., B. C. Guerra, S. Saka, and F. Leite. 2026.</w:t>
      </w:r>
      <w:r>
        <w:t xml:space="preserve"> </w:t>
      </w:r>
      <w:r>
        <w:t xml:space="preserve">“Streamlining BIM coordination and clash resolution through risk and relevance analysis.”</w:t>
      </w:r>
      <w:r>
        <w:t xml:space="preserve"> </w:t>
      </w:r>
      <w:r>
        <w:rPr>
          <w:i/>
          <w:iCs/>
        </w:rPr>
        <w:t xml:space="preserve">Journal of Construction Engineering and Management</w:t>
      </w:r>
      <w:r>
        <w:t xml:space="preserve">, 152 (7).</w:t>
      </w:r>
      <w:r>
        <w:t xml:space="preserve"> </w:t>
      </w:r>
      <w:hyperlink r:id="rId109">
        <w:r>
          <w:rPr>
            <w:rStyle w:val="Hyperlink"/>
          </w:rPr>
          <w:t xml:space="preserve">https://doi.org/10.1061/jcemd4.coeng-17676</w:t>
        </w:r>
      </w:hyperlink>
      <w:r>
        <w:t xml:space="preserve">.</w:t>
      </w:r>
    </w:p>
    <w:bookmarkEnd w:id="110"/>
    <w:bookmarkStart w:id="112" w:name="_9a2b4e75efdb3e2848fae6b0050102afc345cd1"/>
    <w:p>
      <w:pPr>
        <w:pStyle w:val="Bibliography"/>
        <w:ind w:left="720" w:hanging="720"/>
      </w:pPr>
      <w:r>
        <w:t xml:space="preserve">Kritzinger, W., M. Karner, G. Traar, J. Henjes, and W. Sihn. 2018.</w:t>
      </w:r>
      <w:r>
        <w:t xml:space="preserve"> </w:t>
      </w:r>
      <w:r>
        <w:t xml:space="preserve">“Digital twin in manufacturing: A categorical literature review and classification.”</w:t>
      </w:r>
      <w:r>
        <w:t xml:space="preserve"> </w:t>
      </w:r>
      <w:r>
        <w:rPr>
          <w:i/>
          <w:iCs/>
        </w:rPr>
        <w:t xml:space="preserve">IFAC-PapersOnLine</w:t>
      </w:r>
      <w:r>
        <w:t xml:space="preserve">, 51 (11): 1016–1022.</w:t>
      </w:r>
      <w:r>
        <w:t xml:space="preserve"> </w:t>
      </w:r>
      <w:hyperlink r:id="rId111">
        <w:r>
          <w:rPr>
            <w:rStyle w:val="Hyperlink"/>
          </w:rPr>
          <w:t xml:space="preserve">https://doi.org/10.1016/j.ifacol.2018.08.474</w:t>
        </w:r>
      </w:hyperlink>
      <w:r>
        <w:t xml:space="preserve">.</w:t>
      </w:r>
    </w:p>
    <w:bookmarkEnd w:id="112"/>
    <w:bookmarkStart w:id="114" w:name="_9bd1f2867fe2c3e412274958f7ebd87d2dfe882"/>
    <w:p>
      <w:pPr>
        <w:pStyle w:val="Bibliography"/>
        <w:ind w:left="720" w:hanging="720"/>
      </w:pPr>
      <w:r>
        <w:t xml:space="preserve">Lengauer, T., and R. E. Tarjan. 1979.</w:t>
      </w:r>
      <w:r>
        <w:t xml:space="preserve"> </w:t>
      </w:r>
      <w:r>
        <w:t xml:space="preserve">“A fast algorithm for finding dominators in a flowgraph.”</w:t>
      </w:r>
      <w:r>
        <w:t xml:space="preserve"> </w:t>
      </w:r>
      <w:r>
        <w:rPr>
          <w:i/>
          <w:iCs/>
        </w:rPr>
        <w:t xml:space="preserve">ACM Transactions on Programming Languages and Systems</w:t>
      </w:r>
      <w:r>
        <w:t xml:space="preserve">, 1 (1): 121–141.</w:t>
      </w:r>
      <w:r>
        <w:t xml:space="preserve"> </w:t>
      </w:r>
      <w:hyperlink r:id="rId113">
        <w:r>
          <w:rPr>
            <w:rStyle w:val="Hyperlink"/>
          </w:rPr>
          <w:t xml:space="preserve">https://doi.org/10.1145/357062.357071</w:t>
        </w:r>
      </w:hyperlink>
      <w:r>
        <w:t xml:space="preserve">.</w:t>
      </w:r>
    </w:p>
    <w:bookmarkEnd w:id="114"/>
    <w:bookmarkStart w:id="116" w:name="_9657f735728280ff8f3f6836cdef366d962b57b"/>
    <w:p>
      <w:pPr>
        <w:pStyle w:val="Bibliography"/>
        <w:ind w:left="720" w:hanging="720"/>
      </w:pPr>
      <w:r>
        <w:t xml:space="preserve">Lin, W. Y., and Y.-H. Huang. 2019.</w:t>
      </w:r>
      <w:r>
        <w:t xml:space="preserve"> </w:t>
      </w:r>
      <w:r>
        <w:t xml:space="preserve">“Filtering of irrelevant clashes detected by BIM software using a hybrid method of rule-based reasoning and supervised machine learning.”</w:t>
      </w:r>
      <w:r>
        <w:t xml:space="preserve"> </w:t>
      </w:r>
      <w:r>
        <w:rPr>
          <w:i/>
          <w:iCs/>
        </w:rPr>
        <w:t xml:space="preserve">Applied Sciences</w:t>
      </w:r>
      <w:r>
        <w:t xml:space="preserve">, 9 (24): 5324.</w:t>
      </w:r>
      <w:r>
        <w:t xml:space="preserve"> </w:t>
      </w:r>
      <w:hyperlink r:id="rId115">
        <w:r>
          <w:rPr>
            <w:rStyle w:val="Hyperlink"/>
          </w:rPr>
          <w:t xml:space="preserve">https://doi.org/10.3390/app9245324</w:t>
        </w:r>
      </w:hyperlink>
      <w:r>
        <w:t xml:space="preserve">.</w:t>
      </w:r>
    </w:p>
    <w:bookmarkEnd w:id="116"/>
    <w:bookmarkStart w:id="118" w:name="_fb3fd29184e1f6192b542d21235915d50f8fba1"/>
    <w:p>
      <w:pPr>
        <w:pStyle w:val="Bibliography"/>
        <w:ind w:left="720" w:hanging="720"/>
      </w:pPr>
      <w:r>
        <w:t xml:space="preserve">Pan, J., S. Chitta, and D. Manocha. 2012.</w:t>
      </w:r>
      <w:r>
        <w:t xml:space="preserve"> </w:t>
      </w:r>
      <w:r>
        <w:t xml:space="preserve">“</w:t>
      </w:r>
      <w:hyperlink r:id="rId117">
        <w:r>
          <w:rPr>
            <w:rStyle w:val="Hyperlink"/>
          </w:rPr>
          <w:t xml:space="preserve">FCL: A general purpose library for collision and proximity queries</w:t>
        </w:r>
      </w:hyperlink>
      <w:r>
        <w:t xml:space="preserve">.”</w:t>
      </w:r>
      <w:r>
        <w:t xml:space="preserve"> </w:t>
      </w:r>
      <w:r>
        <w:t xml:space="preserve">In:</w:t>
      </w:r>
      <w:r>
        <w:t xml:space="preserve"> </w:t>
      </w:r>
      <w:r>
        <w:rPr>
          <w:i/>
          <w:iCs/>
        </w:rPr>
        <w:t xml:space="preserve">2012 IEEE international conference on robotics and automation</w:t>
      </w:r>
      <w:r>
        <w:t xml:space="preserve">, 3859–3866. IEEE.</w:t>
      </w:r>
    </w:p>
    <w:bookmarkEnd w:id="118"/>
    <w:bookmarkStart w:id="120" w:name="_f468efb278e18e644ce546146eee60da7ca9087"/>
    <w:p>
      <w:pPr>
        <w:pStyle w:val="Bibliography"/>
        <w:ind w:left="720" w:hanging="720"/>
      </w:pPr>
      <w:r>
        <w:t xml:space="preserve">pyRevitLabs</w:t>
      </w:r>
      <w:r>
        <w:t xml:space="preserve">. 2026.</w:t>
      </w:r>
      <w:r>
        <w:t xml:space="preserve"> </w:t>
      </w:r>
      <w:r>
        <w:t xml:space="preserve">“</w:t>
      </w:r>
      <w:r>
        <w:t xml:space="preserve">pyRevit</w:t>
      </w:r>
      <w:r>
        <w:t xml:space="preserve">: Rapid application development (</w:t>
      </w:r>
      <w:r>
        <w:t xml:space="preserve">RAD</w:t>
      </w:r>
      <w:r>
        <w:t xml:space="preserve">) environment for autodesk revit.”</w:t>
      </w:r>
      <w:r>
        <w:t xml:space="preserve"> </w:t>
      </w:r>
      <w:hyperlink r:id="rId119">
        <w:r>
          <w:rPr>
            <w:rStyle w:val="Hyperlink"/>
          </w:rPr>
          <w:t xml:space="preserve">https://github.com/pyrevitlabs/pyRevit</w:t>
        </w:r>
      </w:hyperlink>
      <w:r>
        <w:t xml:space="preserve">.</w:t>
      </w:r>
    </w:p>
    <w:bookmarkEnd w:id="120"/>
    <w:bookmarkStart w:id="122" w:name="_6c9cbe90a92aeeb1fb8ebdb61b9b42d82673916"/>
    <w:p>
      <w:pPr>
        <w:pStyle w:val="Bibliography"/>
        <w:ind w:left="720" w:hanging="720"/>
      </w:pPr>
      <w:r>
        <w:t xml:space="preserve">Sacks, R., I. Brilakis, E. Pikas, H. S. Xie, and M. Girolami. 2020.</w:t>
      </w:r>
      <w:r>
        <w:t xml:space="preserve"> </w:t>
      </w:r>
      <w:r>
        <w:t xml:space="preserve">“Construction with digital twin information systems.”</w:t>
      </w:r>
      <w:r>
        <w:t xml:space="preserve"> </w:t>
      </w:r>
      <w:r>
        <w:rPr>
          <w:i/>
          <w:iCs/>
        </w:rPr>
        <w:t xml:space="preserve">Data-Centric Engineering</w:t>
      </w:r>
      <w:r>
        <w:t xml:space="preserve">, 1.</w:t>
      </w:r>
      <w:r>
        <w:t xml:space="preserve"> </w:t>
      </w:r>
      <w:hyperlink r:id="rId121">
        <w:r>
          <w:rPr>
            <w:rStyle w:val="Hyperlink"/>
          </w:rPr>
          <w:t xml:space="preserve">https://doi.org/10.1017/dce.2020.16</w:t>
        </w:r>
      </w:hyperlink>
      <w:r>
        <w:t xml:space="preserve">.</w:t>
      </w:r>
    </w:p>
    <w:bookmarkEnd w:id="122"/>
    <w:bookmarkStart w:id="124" w:name="_0a3848646ff61d9bc82751375ce6c01a7c58e7d"/>
    <w:p>
      <w:pPr>
        <w:pStyle w:val="Bibliography"/>
        <w:ind w:left="720" w:hanging="720"/>
      </w:pPr>
      <w:r>
        <w:t xml:space="preserve">Solihin, W., and C. Eastman. 2015.</w:t>
      </w:r>
      <w:r>
        <w:t xml:space="preserve"> </w:t>
      </w:r>
      <w:r>
        <w:t xml:space="preserve">“Classification of rules for automated BIM rule checking development.”</w:t>
      </w:r>
      <w:r>
        <w:t xml:space="preserve"> </w:t>
      </w:r>
      <w:r>
        <w:rPr>
          <w:i/>
          <w:iCs/>
        </w:rPr>
        <w:t xml:space="preserve">Automation in Construction</w:t>
      </w:r>
      <w:r>
        <w:t xml:space="preserve">, 53: 69–82.</w:t>
      </w:r>
      <w:r>
        <w:t xml:space="preserve"> </w:t>
      </w:r>
      <w:hyperlink r:id="rId123">
        <w:r>
          <w:rPr>
            <w:rStyle w:val="Hyperlink"/>
          </w:rPr>
          <w:t xml:space="preserve">https://doi.org/10.1016/j.autcon.2015.03.003</w:t>
        </w:r>
      </w:hyperlink>
      <w:r>
        <w:t xml:space="preserve">.</w:t>
      </w:r>
    </w:p>
    <w:bookmarkEnd w:id="124"/>
    <w:bookmarkStart w:id="126" w:name="_725b849b7058aa2c6daa0a62e58df19f4b6ffb1"/>
    <w:p>
      <w:pPr>
        <w:pStyle w:val="Bibliography"/>
        <w:ind w:left="720" w:hanging="720"/>
      </w:pPr>
      <w:r>
        <w:t xml:space="preserve">Starossek, U., and M. Haberland. 2010.</w:t>
      </w:r>
      <w:r>
        <w:t xml:space="preserve"> </w:t>
      </w:r>
      <w:r>
        <w:t xml:space="preserve">“Disproportionate collapse: Terminology and procedures.”</w:t>
      </w:r>
      <w:r>
        <w:t xml:space="preserve"> </w:t>
      </w:r>
      <w:r>
        <w:rPr>
          <w:i/>
          <w:iCs/>
        </w:rPr>
        <w:t xml:space="preserve">Journal of Performance of Constructed Facilities</w:t>
      </w:r>
      <w:r>
        <w:t xml:space="preserve">, 24 (6): 519–528.</w:t>
      </w:r>
      <w:r>
        <w:t xml:space="preserve"> </w:t>
      </w:r>
      <w:hyperlink r:id="rId125">
        <w:r>
          <w:rPr>
            <w:rStyle w:val="Hyperlink"/>
          </w:rPr>
          <w:t xml:space="preserve">https://doi.org/10.1061/(asce)cf.1943-5509.0000138</w:t>
        </w:r>
      </w:hyperlink>
      <w:r>
        <w:t xml:space="preserve">.</w:t>
      </w:r>
    </w:p>
    <w:bookmarkEnd w:id="126"/>
    <w:bookmarkStart w:id="127" w:name="_06e5951872820aa0f41fe13dcb89ffb864de2dd"/>
    <w:p>
      <w:pPr>
        <w:pStyle w:val="Bibliography"/>
        <w:ind w:left="720" w:hanging="720"/>
      </w:pPr>
      <w:r>
        <w:t xml:space="preserve">U.S. Department of Defense. 2016.</w:t>
      </w:r>
      <w:r>
        <w:t xml:space="preserve"> </w:t>
      </w:r>
      <w:r>
        <w:rPr>
          <w:i/>
          <w:iCs/>
        </w:rPr>
        <w:t xml:space="preserve">Design of buildings to resist progressive collapse (</w:t>
      </w:r>
      <w:r>
        <w:rPr>
          <w:i/>
          <w:iCs/>
        </w:rPr>
        <w:t xml:space="preserve">UFC</w:t>
      </w:r>
      <w:r>
        <w:rPr>
          <w:i/>
          <w:iCs/>
        </w:rPr>
        <w:t xml:space="preserve"> </w:t>
      </w:r>
      <w:r>
        <w:rPr>
          <w:i/>
          <w:iCs/>
        </w:rPr>
        <w:t xml:space="preserve">4-023-03, with change 3)</w:t>
      </w:r>
      <w:r>
        <w:t xml:space="preserve">. Washington, DC: Unified Facilities Criteria.</w:t>
      </w:r>
    </w:p>
    <w:bookmarkEnd w:id="127"/>
    <w:bookmarkEnd w:id="128"/>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36" Type="http://schemas.openxmlformats.org/officeDocument/2006/relationships/image" Target="media/rId36.png"/><Relationship Id="rId41" Type="http://schemas.openxmlformats.org/officeDocument/2006/relationships/image" Target="media/rId41.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5" Type="http://schemas.openxmlformats.org/officeDocument/2006/relationships/image" Target="media/rId65.png"/><Relationship Id="rId100" Type="http://schemas.openxmlformats.org/officeDocument/2006/relationships/hyperlink" Target="https://doi.org/10.1016/j.autcon.2009.07.002" TargetMode="External"/><Relationship Id="rId123" Type="http://schemas.openxmlformats.org/officeDocument/2006/relationships/hyperlink" Target="https://doi.org/10.1016/j.autcon.2015.03.003" TargetMode="External"/><Relationship Id="rId107" Type="http://schemas.openxmlformats.org/officeDocument/2006/relationships/hyperlink" Target="https://doi.org/10.1016/j.autcon.2019.102832" TargetMode="External"/><Relationship Id="rId93" Type="http://schemas.openxmlformats.org/officeDocument/2006/relationships/hyperlink" Target="https://doi.org/10.1016/j.autcon.2020.103179" TargetMode="External"/><Relationship Id="rId84" Type="http://schemas.openxmlformats.org/officeDocument/2006/relationships/hyperlink" Target="https://doi.org/10.1016/j.autcon.2025.106644" TargetMode="External"/><Relationship Id="rId111" Type="http://schemas.openxmlformats.org/officeDocument/2006/relationships/hyperlink" Target="https://doi.org/10.1016/j.ifacol.2018.08.474" TargetMode="External"/><Relationship Id="rId82" Type="http://schemas.openxmlformats.org/officeDocument/2006/relationships/hyperlink" Target="https://doi.org/10.1016/j.matdes.2012.03.001" TargetMode="External"/><Relationship Id="rId121" Type="http://schemas.openxmlformats.org/officeDocument/2006/relationships/hyperlink" Target="https://doi.org/10.1017/dce.2020.16" TargetMode="External"/><Relationship Id="rId125" Type="http://schemas.openxmlformats.org/officeDocument/2006/relationships/hyperlink" Target="https://doi.org/10.1061/(asce)cf.1943-5509.0000138" TargetMode="External"/><Relationship Id="rId105" Type="http://schemas.openxmlformats.org/officeDocument/2006/relationships/hyperlink" Target="https://doi.org/10.1061/(asce)cp.1943-5487.0000810" TargetMode="External"/><Relationship Id="rId88" Type="http://schemas.openxmlformats.org/officeDocument/2006/relationships/hyperlink" Target="https://doi.org/10.1061/9780784415788" TargetMode="External"/><Relationship Id="rId109" Type="http://schemas.openxmlformats.org/officeDocument/2006/relationships/hyperlink" Target="https://doi.org/10.1061/jcemd4.coeng-17676" TargetMode="External"/><Relationship Id="rId97" Type="http://schemas.openxmlformats.org/officeDocument/2006/relationships/hyperlink" Target="https://doi.org/10.1080/01446193.2020.1802768" TargetMode="External"/><Relationship Id="rId117" Type="http://schemas.openxmlformats.org/officeDocument/2006/relationships/hyperlink" Target="https://doi.org/10.1109/icra.2012.6225337" TargetMode="External"/><Relationship Id="rId113" Type="http://schemas.openxmlformats.org/officeDocument/2006/relationships/hyperlink" Target="https://doi.org/10.1145/357062.357071" TargetMode="External"/><Relationship Id="rId102" Type="http://schemas.openxmlformats.org/officeDocument/2006/relationships/hyperlink" Target="https://doi.org/10.1145/971697.602266" TargetMode="External"/><Relationship Id="rId115" Type="http://schemas.openxmlformats.org/officeDocument/2006/relationships/hyperlink" Target="https://doi.org/10.3390/app9245324" TargetMode="External"/><Relationship Id="rId91" Type="http://schemas.openxmlformats.org/officeDocument/2006/relationships/hyperlink" Target="https://doi.org/10.3390/buildings14113611" TargetMode="External"/><Relationship Id="rId95" Type="http://schemas.openxmlformats.org/officeDocument/2006/relationships/hyperlink" Target="https://doi.org/10.3390/buildings16040690" TargetMode="External"/><Relationship Id="rId86" Type="http://schemas.openxmlformats.org/officeDocument/2006/relationships/hyperlink" Target="https://doi.org/10.3390/buildings7030075" TargetMode="External"/><Relationship Id="rId76" Type="http://schemas.openxmlformats.org/officeDocument/2006/relationships/hyperlink" Target="https://github.com/Darkiii-2514/DT-Clash-Detection-Paper" TargetMode="External"/><Relationship Id="rId79" Type="http://schemas.openxmlformats.org/officeDocument/2006/relationships/hyperlink" Target="https://github.com/Darkiii-2514/DT-Clash-Detection-Paper/blob/master/paper/supplementary/Video_1_digital_twin_demo.mp4" TargetMode="External"/><Relationship Id="rId119" Type="http://schemas.openxmlformats.org/officeDocument/2006/relationships/hyperlink" Target="https://github.com/pyrevitlabs/pyRevi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1016/j.autcon.2009.07.002" TargetMode="External"/><Relationship Id="rId123" Type="http://schemas.openxmlformats.org/officeDocument/2006/relationships/hyperlink" Target="https://doi.org/10.1016/j.autcon.2015.03.003" TargetMode="External"/><Relationship Id="rId107" Type="http://schemas.openxmlformats.org/officeDocument/2006/relationships/hyperlink" Target="https://doi.org/10.1016/j.autcon.2019.102832" TargetMode="External"/><Relationship Id="rId93" Type="http://schemas.openxmlformats.org/officeDocument/2006/relationships/hyperlink" Target="https://doi.org/10.1016/j.autcon.2020.103179" TargetMode="External"/><Relationship Id="rId84" Type="http://schemas.openxmlformats.org/officeDocument/2006/relationships/hyperlink" Target="https://doi.org/10.1016/j.autcon.2025.106644" TargetMode="External"/><Relationship Id="rId111" Type="http://schemas.openxmlformats.org/officeDocument/2006/relationships/hyperlink" Target="https://doi.org/10.1016/j.ifacol.2018.08.474" TargetMode="External"/><Relationship Id="rId82" Type="http://schemas.openxmlformats.org/officeDocument/2006/relationships/hyperlink" Target="https://doi.org/10.1016/j.matdes.2012.03.001" TargetMode="External"/><Relationship Id="rId121" Type="http://schemas.openxmlformats.org/officeDocument/2006/relationships/hyperlink" Target="https://doi.org/10.1017/dce.2020.16" TargetMode="External"/><Relationship Id="rId125" Type="http://schemas.openxmlformats.org/officeDocument/2006/relationships/hyperlink" Target="https://doi.org/10.1061/(asce)cf.1943-5509.0000138" TargetMode="External"/><Relationship Id="rId105" Type="http://schemas.openxmlformats.org/officeDocument/2006/relationships/hyperlink" Target="https://doi.org/10.1061/(asce)cp.1943-5487.0000810" TargetMode="External"/><Relationship Id="rId88" Type="http://schemas.openxmlformats.org/officeDocument/2006/relationships/hyperlink" Target="https://doi.org/10.1061/9780784415788" TargetMode="External"/><Relationship Id="rId109" Type="http://schemas.openxmlformats.org/officeDocument/2006/relationships/hyperlink" Target="https://doi.org/10.1061/jcemd4.coeng-17676" TargetMode="External"/><Relationship Id="rId97" Type="http://schemas.openxmlformats.org/officeDocument/2006/relationships/hyperlink" Target="https://doi.org/10.1080/01446193.2020.1802768" TargetMode="External"/><Relationship Id="rId117" Type="http://schemas.openxmlformats.org/officeDocument/2006/relationships/hyperlink" Target="https://doi.org/10.1109/icra.2012.6225337" TargetMode="External"/><Relationship Id="rId113" Type="http://schemas.openxmlformats.org/officeDocument/2006/relationships/hyperlink" Target="https://doi.org/10.1145/357062.357071" TargetMode="External"/><Relationship Id="rId102" Type="http://schemas.openxmlformats.org/officeDocument/2006/relationships/hyperlink" Target="https://doi.org/10.1145/971697.602266" TargetMode="External"/><Relationship Id="rId115" Type="http://schemas.openxmlformats.org/officeDocument/2006/relationships/hyperlink" Target="https://doi.org/10.3390/app9245324" TargetMode="External"/><Relationship Id="rId91" Type="http://schemas.openxmlformats.org/officeDocument/2006/relationships/hyperlink" Target="https://doi.org/10.3390/buildings14113611" TargetMode="External"/><Relationship Id="rId95" Type="http://schemas.openxmlformats.org/officeDocument/2006/relationships/hyperlink" Target="https://doi.org/10.3390/buildings16040690" TargetMode="External"/><Relationship Id="rId86" Type="http://schemas.openxmlformats.org/officeDocument/2006/relationships/hyperlink" Target="https://doi.org/10.3390/buildings7030075" TargetMode="External"/><Relationship Id="rId76" Type="http://schemas.openxmlformats.org/officeDocument/2006/relationships/hyperlink" Target="https://github.com/Darkiii-2514/DT-Clash-Detection-Paper" TargetMode="External"/><Relationship Id="rId79" Type="http://schemas.openxmlformats.org/officeDocument/2006/relationships/hyperlink" Target="https://github.com/Darkiii-2514/DT-Clash-Detection-Paper/blob/master/paper/supplementary/Video_1_digital_twin_demo.mp4" TargetMode="External"/><Relationship Id="rId119" Type="http://schemas.openxmlformats.org/officeDocument/2006/relationships/hyperlink" Target="https://github.com/pyrevitlabs/pyRev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Muhammad Ahmeda,*, Maleeha Waseema, Muhammad Arhama; a Department of Civil Engineering, Ghulam Ishaq Khan Institute of Engineering Sciences and Technology, Topi 23640, Swabi, Khyber Pakhtunkhwa, Pakistan; * Corresponding author. E-mail addresses: muhammed.ahmed0999@gmail.com (Muhammad Ahmed), maleehawaseem30@gmail.com (Maleeha Waseem), muhammadarham6333@gmail.com (Muhammad Arham).</dc:creator>
  <cp:keywords/>
  <dcterms:created xsi:type="dcterms:W3CDTF">2026-10-12T20:56:12Z</dcterms:created>
  <dcterms:modified xsi:type="dcterms:W3CDTF">2026-10-12T20:56:12Z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refs_asce.bib</vt:lpwstr>
  </property>
  <property fmtid="{D5CDD505-2E9C-101B-9397-08002B2CF9AE}" pid="3" name="csl">
    <vt:lpwstr>style/american-society-of-civil-engineers.csl</vt:lpwstr>
  </property>
  <property fmtid="{D5CDD505-2E9C-101B-9397-08002B2CF9AE}" pid="4" name="link-citations">
    <vt:lpwstr>True</vt:lpwstr>
  </property>
</Properties>
</file>