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0"/>
        <w:spacing w:before="0"/>
        <w:rPr>
          <w:rFonts w:hint="default"/>
          <w:lang w:val="en-US"/>
        </w:rPr>
      </w:pPr>
      <w:r>
        <w:t xml:space="preserve">Договір поставки </w:t>
      </w:r>
      <w:r>
        <w:rPr>
          <w:lang w:val="ru-RU"/>
        </w:rPr>
        <w:t>№</w:t>
      </w:r>
      <w:r>
        <w:rPr>
          <w:rFonts w:hint="default"/>
          <w:lang w:val="en-US"/>
        </w:rPr>
        <w:t>{{contract_date}}</w:t>
      </w:r>
      <w:r>
        <w:rPr>
          <w:lang w:val="ru-RU"/>
        </w:rPr>
        <w:t>/</w:t>
      </w:r>
      <w:r>
        <w:rPr>
          <w:rFonts w:hint="default"/>
          <w:lang w:val="en-US"/>
        </w:rPr>
        <w:t>{{ contract_number }}</w:t>
      </w:r>
    </w:p>
    <w:p>
      <w:pPr>
        <w:shd w:val="clear" w:color="auto" w:fill="FFFFFF"/>
        <w:rPr>
          <w:rFonts w:hint="default"/>
          <w:b/>
          <w:bCs/>
          <w:color w:val="000000"/>
          <w:spacing w:val="1"/>
          <w:sz w:val="24"/>
          <w:szCs w:val="24"/>
          <w:lang w:val="en-US"/>
        </w:rPr>
      </w:pPr>
      <w:r>
        <w:rPr>
          <w:b/>
          <w:bCs/>
          <w:color w:val="000000"/>
          <w:spacing w:val="-11"/>
          <w:sz w:val="24"/>
          <w:szCs w:val="24"/>
          <w:lang w:val="uk-UA"/>
        </w:rPr>
        <w:t>м. Київ</w:t>
      </w:r>
      <w:r>
        <w:rPr>
          <w:b/>
          <w:bCs/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rFonts w:hint="default"/>
          <w:color w:val="000000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>{{contract_date_ua}} року</w:t>
      </w:r>
    </w:p>
    <w:p>
      <w:pPr>
        <w:shd w:val="clear" w:color="auto" w:fill="FFFFFF"/>
        <w:ind w:right="5"/>
        <w:jc w:val="both"/>
        <w:rPr>
          <w:color w:val="000000"/>
          <w:sz w:val="24"/>
          <w:szCs w:val="24"/>
          <w:vertAlign w:val="baseline"/>
          <w:lang w:val="uk-UA"/>
        </w:rPr>
      </w:pPr>
      <w:r>
        <w:rPr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b/>
          <w:color w:val="000000"/>
          <w:spacing w:val="1"/>
          <w:sz w:val="24"/>
          <w:szCs w:val="24"/>
          <w:lang w:val="uk-UA"/>
        </w:rPr>
        <w:t>.</w:t>
      </w:r>
      <w:r>
        <w:rPr>
          <w:color w:val="000000"/>
          <w:spacing w:val="1"/>
          <w:sz w:val="24"/>
          <w:szCs w:val="24"/>
          <w:lang w:val="uk-UA"/>
        </w:rPr>
        <w:t>, (надалі Продавець)</w:t>
      </w:r>
      <w:r>
        <w:rPr>
          <w:color w:val="000000"/>
          <w:spacing w:val="1"/>
          <w:sz w:val="22"/>
          <w:szCs w:val="22"/>
          <w:lang w:val="uk-UA"/>
        </w:rPr>
        <w:t>,</w:t>
      </w:r>
      <w:r>
        <w:rPr>
          <w:color w:val="000000"/>
          <w:spacing w:val="1"/>
          <w:sz w:val="24"/>
          <w:szCs w:val="24"/>
          <w:lang w:val="uk-UA"/>
        </w:rPr>
        <w:t xml:space="preserve"> з одного боку та</w:t>
      </w:r>
      <w:r>
        <w:rPr>
          <w:b/>
          <w:sz w:val="24"/>
          <w:szCs w:val="24"/>
          <w:lang w:val="uk-UA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{{pib_buyer}}</w:t>
      </w:r>
      <w:r>
        <w:rPr>
          <w:color w:val="000000"/>
          <w:spacing w:val="1"/>
          <w:sz w:val="24"/>
          <w:szCs w:val="24"/>
          <w:lang w:val="uk-UA"/>
        </w:rPr>
        <w:t xml:space="preserve">, надалі Покупець, </w:t>
      </w:r>
      <w:r>
        <w:rPr>
          <w:color w:val="000000"/>
          <w:spacing w:val="6"/>
          <w:sz w:val="24"/>
          <w:szCs w:val="24"/>
          <w:lang w:val="uk-UA"/>
        </w:rPr>
        <w:t xml:space="preserve">з іншого боку, надалі іменовані "Сторони", відповідно до </w:t>
      </w:r>
      <w:r>
        <w:rPr>
          <w:color w:val="000000"/>
          <w:spacing w:val="1"/>
          <w:sz w:val="24"/>
          <w:szCs w:val="24"/>
          <w:lang w:val="uk-UA"/>
        </w:rPr>
        <w:t xml:space="preserve">чинного законодавства України уклали даний Договір поставки, надалі - </w:t>
      </w:r>
      <w:r>
        <w:rPr>
          <w:color w:val="000000"/>
          <w:sz w:val="24"/>
          <w:szCs w:val="24"/>
          <w:lang w:val="uk-UA"/>
        </w:rPr>
        <w:t>Договір, про нижченаведене:</w:t>
      </w:r>
    </w:p>
    <w:p>
      <w:pPr>
        <w:numPr>
          <w:ilvl w:val="0"/>
          <w:numId w:val="2"/>
        </w:numPr>
        <w:shd w:val="clear" w:color="auto" w:fill="FFFFFF"/>
        <w:jc w:val="center"/>
        <w:rPr>
          <w:b/>
          <w:bCs/>
          <w:color w:val="000000"/>
          <w:spacing w:val="2"/>
          <w:sz w:val="24"/>
          <w:szCs w:val="24"/>
          <w:lang w:val="uk-UA"/>
        </w:rPr>
      </w:pPr>
      <w:r>
        <w:rPr>
          <w:b/>
          <w:bCs/>
          <w:color w:val="000000"/>
          <w:spacing w:val="2"/>
          <w:sz w:val="24"/>
          <w:szCs w:val="24"/>
          <w:lang w:val="uk-UA"/>
        </w:rPr>
        <w:t>Предмет договору</w:t>
      </w:r>
    </w:p>
    <w:p>
      <w:pPr>
        <w:numPr>
          <w:ilvl w:val="1"/>
          <w:numId w:val="3"/>
        </w:numPr>
        <w:shd w:val="clear" w:color="auto" w:fill="FFFFFF"/>
        <w:tabs>
          <w:tab w:val="left" w:pos="0"/>
          <w:tab w:val="left" w:pos="851"/>
          <w:tab w:val="left" w:leader="underscore" w:pos="8347"/>
        </w:tabs>
        <w:spacing w:before="14" w:line="250" w:lineRule="exact"/>
        <w:ind w:left="0" w:firstLine="284"/>
        <w:jc w:val="both"/>
        <w:rPr>
          <w:color w:val="000000"/>
          <w:spacing w:val="2"/>
          <w:sz w:val="24"/>
          <w:szCs w:val="24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>Постачальник зобов'язується поставити обладнання</w:t>
      </w:r>
      <w:r>
        <w:rPr>
          <w:color w:val="000000"/>
          <w:spacing w:val="-5"/>
          <w:sz w:val="24"/>
          <w:szCs w:val="24"/>
          <w:lang w:val="uk-UA"/>
        </w:rPr>
        <w:t xml:space="preserve">, надалі </w:t>
      </w:r>
      <w:r>
        <w:rPr>
          <w:color w:val="000000"/>
          <w:spacing w:val="-5"/>
          <w:sz w:val="24"/>
          <w:szCs w:val="24"/>
        </w:rPr>
        <w:t>-</w:t>
      </w:r>
      <w:r>
        <w:rPr>
          <w:color w:val="000000"/>
          <w:spacing w:val="-5"/>
          <w:sz w:val="24"/>
          <w:szCs w:val="24"/>
          <w:lang w:val="uk-UA"/>
        </w:rPr>
        <w:t xml:space="preserve"> </w:t>
      </w:r>
      <w:r>
        <w:rPr>
          <w:b/>
          <w:bCs/>
          <w:color w:val="000000"/>
          <w:spacing w:val="-5"/>
          <w:sz w:val="24"/>
          <w:szCs w:val="24"/>
          <w:lang w:val="uk-UA"/>
        </w:rPr>
        <w:t>"Товар",</w:t>
      </w:r>
      <w:r>
        <w:rPr>
          <w:sz w:val="24"/>
          <w:szCs w:val="24"/>
          <w:lang w:val="uk-UA"/>
        </w:rPr>
        <w:t xml:space="preserve"> </w:t>
      </w:r>
      <w:r>
        <w:rPr>
          <w:color w:val="000000"/>
          <w:spacing w:val="2"/>
          <w:sz w:val="24"/>
          <w:szCs w:val="24"/>
          <w:lang w:val="uk-UA"/>
        </w:rPr>
        <w:t xml:space="preserve">з необхідними </w:t>
      </w:r>
    </w:p>
    <w:p>
      <w:pPr>
        <w:shd w:val="clear" w:color="auto" w:fill="FFFFFF"/>
        <w:tabs>
          <w:tab w:val="left" w:pos="941"/>
          <w:tab w:val="left" w:leader="underscore" w:pos="8347"/>
        </w:tabs>
        <w:spacing w:before="14" w:line="250" w:lineRule="exact"/>
        <w:jc w:val="both"/>
        <w:rPr>
          <w:color w:val="000000"/>
          <w:sz w:val="24"/>
          <w:szCs w:val="24"/>
          <w:vertAlign w:val="baseline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 xml:space="preserve">супроводжувальними документами та передати Товар у власність Покупця, а Покупець </w:t>
      </w:r>
      <w:r>
        <w:rPr>
          <w:color w:val="000000"/>
          <w:sz w:val="24"/>
          <w:szCs w:val="24"/>
          <w:lang w:val="uk-UA"/>
        </w:rPr>
        <w:t>зобов'язується прийняти Товар та здійснити оплату за нього у повному обсязі на умовах Договору.</w:t>
      </w:r>
    </w:p>
    <w:p>
      <w:pPr>
        <w:numPr>
          <w:ilvl w:val="1"/>
          <w:numId w:val="3"/>
        </w:numPr>
        <w:shd w:val="clear" w:color="auto" w:fill="FFFFFF"/>
        <w:tabs>
          <w:tab w:val="left" w:pos="0"/>
          <w:tab w:val="left" w:pos="851"/>
        </w:tabs>
        <w:ind w:left="0" w:firstLine="284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Кількість, найменування та ціна Товару вказується в Специфікації №1 до даного договору, який </w:t>
      </w:r>
      <w:r>
        <w:rPr>
          <w:color w:val="000000"/>
          <w:spacing w:val="2"/>
          <w:sz w:val="24"/>
          <w:szCs w:val="24"/>
          <w:lang w:val="uk-UA"/>
        </w:rPr>
        <w:t xml:space="preserve">видається Постачальником Покупцю на підставі усної заявки останнього, і є </w:t>
      </w:r>
      <w:r>
        <w:rPr>
          <w:color w:val="000000"/>
          <w:sz w:val="24"/>
          <w:szCs w:val="24"/>
          <w:lang w:val="uk-UA"/>
        </w:rPr>
        <w:t>невід'ємною частиною цього договору.</w:t>
      </w:r>
    </w:p>
    <w:p>
      <w:pPr>
        <w:numPr>
          <w:ilvl w:val="0"/>
          <w:numId w:val="2"/>
        </w:numPr>
        <w:shd w:val="clear" w:color="auto" w:fill="FFFFFF"/>
        <w:jc w:val="center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 xml:space="preserve">Порядок оплати та інші умови </w:t>
      </w:r>
    </w:p>
    <w:p>
      <w:pPr>
        <w:shd w:val="clear" w:color="auto" w:fill="FFFFFF"/>
        <w:tabs>
          <w:tab w:val="left" w:pos="0"/>
        </w:tabs>
        <w:ind w:left="284"/>
        <w:jc w:val="both"/>
        <w:rPr>
          <w:color w:val="000000"/>
          <w:spacing w:val="-1"/>
          <w:sz w:val="24"/>
          <w:szCs w:val="24"/>
          <w:lang w:val="uk-UA"/>
        </w:rPr>
      </w:pPr>
      <w:r>
        <w:rPr>
          <w:color w:val="000000"/>
          <w:spacing w:val="3"/>
          <w:sz w:val="24"/>
          <w:szCs w:val="24"/>
          <w:lang w:val="uk-UA"/>
        </w:rPr>
        <w:t xml:space="preserve">2.1. Умови оплати вказуються в специфікації №1 до даного договору. Покупець зобов'язується оплатити 100% вартості </w:t>
      </w:r>
      <w:r>
        <w:rPr>
          <w:color w:val="000000"/>
          <w:sz w:val="24"/>
          <w:szCs w:val="24"/>
          <w:lang w:val="uk-UA"/>
        </w:rPr>
        <w:t>Товару</w:t>
      </w:r>
      <w:r>
        <w:rPr>
          <w:color w:val="000000"/>
          <w:spacing w:val="4"/>
          <w:sz w:val="24"/>
          <w:szCs w:val="24"/>
          <w:lang w:val="uk-UA"/>
        </w:rPr>
        <w:t xml:space="preserve">, зазначеної в рахунку-фактурі на оплату, до моменту поставки </w:t>
      </w:r>
      <w:r>
        <w:rPr>
          <w:color w:val="000000"/>
          <w:sz w:val="24"/>
          <w:szCs w:val="24"/>
          <w:lang w:val="uk-UA"/>
        </w:rPr>
        <w:t xml:space="preserve">Товару. </w:t>
      </w:r>
      <w:r>
        <w:rPr>
          <w:color w:val="000000"/>
          <w:spacing w:val="9"/>
          <w:sz w:val="24"/>
          <w:szCs w:val="24"/>
          <w:lang w:val="uk-UA"/>
        </w:rPr>
        <w:t xml:space="preserve">Датою здійснення </w:t>
      </w:r>
      <w:r>
        <w:rPr>
          <w:color w:val="000000"/>
          <w:spacing w:val="-1"/>
          <w:sz w:val="24"/>
          <w:szCs w:val="24"/>
          <w:lang w:val="uk-UA"/>
        </w:rPr>
        <w:t>передоплати вважається дата зарахування коштів на поточний рахунок Постачальника.</w:t>
      </w:r>
    </w:p>
    <w:p>
      <w:pPr>
        <w:shd w:val="clear" w:color="auto" w:fill="FFFFFF"/>
        <w:tabs>
          <w:tab w:val="left" w:pos="851"/>
        </w:tabs>
        <w:spacing w:line="250" w:lineRule="exact"/>
        <w:ind w:left="284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2.2.    Загальна сума Договору вказується в специфікації №1 до даного договору.</w:t>
      </w:r>
    </w:p>
    <w:p>
      <w:pPr>
        <w:shd w:val="clear" w:color="auto" w:fill="FFFFFF"/>
        <w:tabs>
          <w:tab w:val="left" w:pos="851"/>
        </w:tabs>
        <w:spacing w:line="250" w:lineRule="exact"/>
        <w:ind w:firstLine="284"/>
        <w:jc w:val="both"/>
        <w:rPr>
          <w:color w:val="000000"/>
          <w:spacing w:val="2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2.3.  </w:t>
      </w:r>
      <w:r>
        <w:rPr>
          <w:color w:val="000000"/>
          <w:spacing w:val="3"/>
          <w:sz w:val="24"/>
          <w:szCs w:val="24"/>
          <w:lang w:val="uk-UA"/>
        </w:rPr>
        <w:t xml:space="preserve">Підставою для здійснення оплати за </w:t>
      </w:r>
      <w:r>
        <w:rPr>
          <w:color w:val="000000"/>
          <w:spacing w:val="2"/>
          <w:sz w:val="24"/>
          <w:szCs w:val="24"/>
          <w:lang w:val="uk-UA"/>
        </w:rPr>
        <w:t>Товар</w:t>
      </w:r>
      <w:r>
        <w:rPr>
          <w:color w:val="000000"/>
          <w:spacing w:val="3"/>
          <w:sz w:val="24"/>
          <w:szCs w:val="24"/>
          <w:lang w:val="uk-UA"/>
        </w:rPr>
        <w:t xml:space="preserve">, що поставляється у </w:t>
      </w:r>
      <w:r>
        <w:rPr>
          <w:color w:val="000000"/>
          <w:spacing w:val="2"/>
          <w:sz w:val="24"/>
          <w:szCs w:val="24"/>
          <w:lang w:val="uk-UA"/>
        </w:rPr>
        <w:t xml:space="preserve">відповідності до даного Договору є рахунок-фактура Постачальника. </w:t>
      </w:r>
    </w:p>
    <w:p>
      <w:pPr>
        <w:numPr>
          <w:ilvl w:val="1"/>
          <w:numId w:val="4"/>
        </w:numPr>
        <w:shd w:val="clear" w:color="auto" w:fill="FFFFFF"/>
        <w:tabs>
          <w:tab w:val="left" w:pos="0"/>
          <w:tab w:val="left" w:pos="709"/>
        </w:tabs>
        <w:spacing w:line="250" w:lineRule="exact"/>
        <w:ind w:left="0" w:firstLine="284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pacing w:val="6"/>
          <w:sz w:val="24"/>
          <w:szCs w:val="24"/>
          <w:lang w:val="uk-UA"/>
        </w:rPr>
        <w:t xml:space="preserve">   Право власності на Товар переходить від Постачальника до Покупця з моменту підписання  </w:t>
      </w:r>
      <w:r>
        <w:rPr>
          <w:color w:val="000000"/>
          <w:sz w:val="24"/>
          <w:szCs w:val="24"/>
          <w:lang w:val="uk-UA"/>
        </w:rPr>
        <w:t>представниками Сторін видаткової накладної, яка засвідчує момент передачі Товару.</w:t>
      </w:r>
    </w:p>
    <w:p>
      <w:pPr>
        <w:spacing w:line="276" w:lineRule="auto"/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Порядок транспортування: </w:t>
      </w:r>
      <w:r>
        <w:rPr>
          <w:rFonts w:hint="default"/>
          <w:sz w:val="24"/>
          <w:szCs w:val="24"/>
          <w:lang w:val="en-US"/>
        </w:rPr>
        <w:t>{{free_delivery}}</w:t>
      </w:r>
      <w:r>
        <w:rPr>
          <w:sz w:val="24"/>
          <w:szCs w:val="24"/>
          <w:lang w:val="uk-UA"/>
        </w:rPr>
        <w:t xml:space="preserve"> доставка в </w:t>
      </w:r>
      <w:r>
        <w:rPr>
          <w:rFonts w:hint="default"/>
          <w:sz w:val="24"/>
          <w:szCs w:val="24"/>
          <w:lang w:val="en-US"/>
        </w:rPr>
        <w:t>{{region}} {{area}}</w:t>
      </w:r>
      <w:r>
        <w:rPr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en-US"/>
        </w:rPr>
        <w:t>{{settle_type}}</w:t>
      </w:r>
      <w:r>
        <w:rPr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en-US"/>
        </w:rPr>
        <w:t>{{settle_name}} {{street}}</w:t>
      </w:r>
      <w:r>
        <w:rPr>
          <w:sz w:val="24"/>
          <w:szCs w:val="24"/>
          <w:lang w:val="uk-UA"/>
        </w:rPr>
        <w:t>.</w:t>
      </w:r>
      <w:r>
        <w:rPr>
          <w:rFonts w:hint="default"/>
          <w:sz w:val="24"/>
          <w:szCs w:val="24"/>
          <w:lang w:val="en-US"/>
        </w:rPr>
        <w:t xml:space="preserve"> Отримувач </w:t>
      </w:r>
      <w:r>
        <w:rPr>
          <w:rFonts w:hint="default"/>
          <w:b w:val="0"/>
          <w:bCs/>
          <w:sz w:val="24"/>
          <w:szCs w:val="24"/>
          <w:lang w:val="en-US"/>
        </w:rPr>
        <w:t>{{pib_receiver}}</w:t>
      </w:r>
      <w:r>
        <w:rPr>
          <w:sz w:val="24"/>
          <w:szCs w:val="24"/>
          <w:lang w:val="uk-UA"/>
        </w:rPr>
        <w:t>.</w:t>
      </w:r>
      <w:r>
        <w:rPr>
          <w:color w:val="000000"/>
          <w:sz w:val="24"/>
          <w:szCs w:val="24"/>
          <w:lang w:val="uk-UA"/>
        </w:rPr>
        <w:t xml:space="preserve">  </w:t>
      </w:r>
      <w:r>
        <w:rPr>
          <w:b/>
          <w:color w:val="000000"/>
          <w:sz w:val="24"/>
          <w:szCs w:val="24"/>
          <w:lang w:val="uk-UA"/>
        </w:rPr>
        <w:t>Зворотню доставку коштів оплачує покупець.</w:t>
      </w:r>
      <w:r>
        <w:rPr>
          <w:b/>
          <w:sz w:val="24"/>
          <w:szCs w:val="24"/>
          <w:lang w:val="uk-UA"/>
        </w:rPr>
        <w:t xml:space="preserve"> </w:t>
      </w:r>
    </w:p>
    <w:p>
      <w:pPr>
        <w:shd w:val="clear" w:color="auto" w:fill="FFFFFF"/>
        <w:rPr>
          <w:b/>
          <w:bCs/>
          <w:color w:val="000000"/>
          <w:spacing w:val="2"/>
          <w:sz w:val="24"/>
          <w:szCs w:val="24"/>
          <w:lang w:val="uk-UA"/>
        </w:rPr>
      </w:pPr>
      <w:r>
        <w:rPr>
          <w:b/>
          <w:bCs/>
          <w:color w:val="000000"/>
          <w:spacing w:val="2"/>
          <w:sz w:val="24"/>
          <w:szCs w:val="24"/>
          <w:lang w:val="uk-UA"/>
        </w:rPr>
        <w:t xml:space="preserve">                                                    3. Відповідальність та зобов’язання сторін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sz w:val="24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sz w:val="24"/>
          <w:lang w:val="uk-UA"/>
        </w:rPr>
        <w:t xml:space="preserve">і </w:t>
      </w:r>
      <w:r>
        <w:rPr>
          <w:color w:val="000000"/>
          <w:spacing w:val="1"/>
          <w:sz w:val="24"/>
          <w:szCs w:val="24"/>
          <w:lang w:val="uk-UA"/>
        </w:rPr>
        <w:t>Покупець</w:t>
      </w:r>
      <w:r>
        <w:rPr>
          <w:sz w:val="24"/>
          <w:lang w:val="uk-UA"/>
        </w:rPr>
        <w:t xml:space="preserve"> несуть відповідальність за невиконання та неналежне виконання умов укладеного Договору згідно з діючим законодавством.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За невиконання договірних зобов</w:t>
      </w:r>
      <w:r>
        <w:rPr>
          <w:sz w:val="24"/>
        </w:rPr>
        <w:t>’</w:t>
      </w:r>
      <w:r>
        <w:rPr>
          <w:sz w:val="24"/>
          <w:lang w:val="uk-UA"/>
        </w:rPr>
        <w:t>язань застосовуються штрафні санкції не нижче облікової ставки НБУ.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Сплата штрафу не звільняє сторони від виконання умов </w:t>
      </w:r>
      <w:r>
        <w:rPr>
          <w:color w:val="000000"/>
          <w:spacing w:val="3"/>
          <w:sz w:val="24"/>
          <w:szCs w:val="24"/>
          <w:lang w:val="uk-UA"/>
        </w:rPr>
        <w:t>даного</w:t>
      </w:r>
      <w:r>
        <w:rPr>
          <w:sz w:val="24"/>
          <w:lang w:val="uk-UA"/>
        </w:rPr>
        <w:t xml:space="preserve"> Договору.</w:t>
      </w:r>
    </w:p>
    <w:p>
      <w:pPr>
        <w:shd w:val="clear" w:color="auto" w:fill="FFFFFF"/>
        <w:tabs>
          <w:tab w:val="left" w:pos="426"/>
        </w:tabs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en-US"/>
        </w:rPr>
        <w:t xml:space="preserve">4. </w:t>
      </w:r>
      <w:r>
        <w:rPr>
          <w:b/>
          <w:bCs/>
          <w:sz w:val="24"/>
          <w:lang w:val="uk-UA"/>
        </w:rPr>
        <w:t>Строк дії договору</w:t>
      </w:r>
    </w:p>
    <w:p>
      <w:pPr>
        <w:numPr>
          <w:ilvl w:val="1"/>
          <w:numId w:val="6"/>
        </w:numPr>
        <w:shd w:val="clear" w:color="auto" w:fill="FFFFFF"/>
        <w:tabs>
          <w:tab w:val="left" w:pos="0"/>
          <w:tab w:val="left" w:pos="851"/>
        </w:tabs>
        <w:spacing w:line="254" w:lineRule="exact"/>
        <w:ind w:left="0" w:firstLine="284"/>
        <w:jc w:val="both"/>
        <w:rPr>
          <w:sz w:val="24"/>
          <w:lang w:val="uk-UA"/>
        </w:rPr>
      </w:pPr>
      <w:r>
        <w:rPr>
          <w:color w:val="000000"/>
          <w:spacing w:val="3"/>
          <w:sz w:val="24"/>
          <w:szCs w:val="24"/>
          <w:lang w:val="uk-UA"/>
        </w:rPr>
        <w:t xml:space="preserve">Даний Договір набуває чинності з дня його підписання обома Сторонами та діє до </w:t>
      </w:r>
      <w:r>
        <w:rPr>
          <w:color w:val="000000"/>
          <w:spacing w:val="8"/>
          <w:sz w:val="24"/>
          <w:szCs w:val="24"/>
          <w:lang w:val="uk-UA"/>
        </w:rPr>
        <w:t xml:space="preserve">остаточного виконання  Сторонами  взятих на себе взаємних </w:t>
      </w:r>
      <w:r>
        <w:rPr>
          <w:color w:val="000000"/>
          <w:spacing w:val="2"/>
          <w:sz w:val="24"/>
          <w:szCs w:val="24"/>
          <w:lang w:val="uk-UA"/>
        </w:rPr>
        <w:t xml:space="preserve">зобов'язань. </w:t>
      </w:r>
      <w:r>
        <w:rPr>
          <w:sz w:val="24"/>
          <w:lang w:val="uk-UA"/>
        </w:rPr>
        <w:t>Зміни умов Договору здійснюється за узгодженням сторін.</w:t>
      </w:r>
    </w:p>
    <w:p>
      <w:pPr>
        <w:numPr>
          <w:ilvl w:val="1"/>
          <w:numId w:val="6"/>
        </w:numPr>
        <w:shd w:val="clear" w:color="auto" w:fill="FFFFFF"/>
        <w:tabs>
          <w:tab w:val="left" w:pos="851"/>
        </w:tabs>
        <w:jc w:val="both"/>
        <w:rPr>
          <w:sz w:val="24"/>
          <w:lang w:val="uk-UA"/>
        </w:rPr>
      </w:pPr>
      <w:r>
        <w:rPr>
          <w:sz w:val="24"/>
          <w:lang w:val="uk-UA"/>
        </w:rPr>
        <w:t>Договір укладено на одному аркуші в 2-х примірниках, що мають однакову юридичну силу.</w:t>
      </w:r>
    </w:p>
    <w:p>
      <w:pPr>
        <w:numPr>
          <w:ilvl w:val="1"/>
          <w:numId w:val="6"/>
        </w:numPr>
        <w:shd w:val="clear" w:color="auto" w:fill="FFFFFF"/>
        <w:tabs>
          <w:tab w:val="left" w:pos="851"/>
        </w:tabs>
        <w:jc w:val="both"/>
        <w:rPr>
          <w:color w:val="000000"/>
          <w:spacing w:val="-8"/>
          <w:sz w:val="24"/>
          <w:szCs w:val="24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color w:val="000000"/>
          <w:spacing w:val="-8"/>
          <w:sz w:val="24"/>
          <w:szCs w:val="24"/>
          <w:lang w:val="uk-UA"/>
        </w:rPr>
        <w:t>являється  платником податку на прибуток на загальних підставах.</w:t>
      </w:r>
    </w:p>
    <w:p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   5. РЕКВІЗИТИ ТА АДРЕСИ СТОРІН</w:t>
      </w:r>
    </w:p>
    <w:tbl>
      <w:tblPr>
        <w:tblStyle w:val="12"/>
        <w:tblW w:w="0" w:type="auto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lang w:eastAsia="ru-RU"/>
              </w:rPr>
              <w:drawing>
                <wp:inline distT="0" distB="0" distL="0" distR="0">
                  <wp:extent cx="1389380" cy="138874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609" cy="138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uk-UA" w:eastAsia="ru-RU"/>
              </w:rPr>
              <w:t>_________</w:t>
            </w:r>
            <w:r>
              <w:rPr>
                <w:b/>
                <w:bCs/>
                <w:lang w:val="uk-UA"/>
              </w:rPr>
              <w:t>Черноусова О.П.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{{date_birth}} рн.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Адреса доставки: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{{region}} </w:t>
            </w:r>
          </w:p>
          <w:p>
            <w:pPr>
              <w:spacing w:line="276" w:lineRule="auto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{{area}}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{{settle_type}}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{{settle_name}}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{{street}}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отримувач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{{pib_receiver}}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{{phone}}</w:t>
            </w:r>
          </w:p>
          <w:p>
            <w:pPr>
              <w:pStyle w:val="226"/>
              <w:spacing w:line="276" w:lineRule="auto"/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___________________</w:t>
            </w:r>
            <w: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</w:tc>
      </w:tr>
    </w:tbl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sz w:val="24"/>
          <w:szCs w:val="24"/>
          <w:lang w:val="uk-UA"/>
        </w:rPr>
      </w:pPr>
    </w:p>
    <w:p>
      <w:pPr>
        <w:jc w:val="center"/>
        <w:rPr>
          <w:b/>
          <w:bCs/>
          <w:sz w:val="24"/>
          <w:szCs w:val="22"/>
          <w:lang w:val="uk-UA"/>
        </w:rPr>
      </w:pPr>
      <w:r>
        <w:rPr>
          <w:b/>
          <w:bCs/>
          <w:sz w:val="24"/>
          <w:szCs w:val="22"/>
          <w:lang w:val="uk-UA"/>
        </w:rPr>
        <w:t>Специфікація № 1</w:t>
      </w:r>
    </w:p>
    <w:p>
      <w:pPr>
        <w:jc w:val="center"/>
        <w:rPr>
          <w:b/>
          <w:sz w:val="22"/>
          <w:lang w:val="uk-UA"/>
        </w:rPr>
      </w:pPr>
      <w:r>
        <w:rPr>
          <w:b/>
          <w:bCs/>
          <w:sz w:val="24"/>
          <w:szCs w:val="22"/>
          <w:lang w:val="uk-UA"/>
        </w:rPr>
        <w:t xml:space="preserve">До договору </w:t>
      </w:r>
      <w:r>
        <w:rPr>
          <w:b/>
          <w:sz w:val="22"/>
          <w:lang w:val="uk-UA"/>
        </w:rPr>
        <w:t xml:space="preserve">поставки № </w:t>
      </w:r>
      <w:r>
        <w:rPr>
          <w:rFonts w:hint="default"/>
          <w:b/>
          <w:sz w:val="22"/>
          <w:lang w:val="en-US"/>
        </w:rPr>
        <w:t>{{contract_date}}</w:t>
      </w:r>
      <w:r>
        <w:rPr>
          <w:b/>
          <w:sz w:val="22"/>
          <w:lang w:val="uk-UA"/>
        </w:rPr>
        <w:t>/</w:t>
      </w:r>
      <w:r>
        <w:rPr>
          <w:rFonts w:hint="default"/>
          <w:b/>
          <w:sz w:val="22"/>
          <w:lang w:val="en-US"/>
        </w:rPr>
        <w:t>{{contract_number}}</w:t>
      </w:r>
      <w:r>
        <w:rPr>
          <w:b/>
          <w:sz w:val="22"/>
          <w:lang w:val="uk-UA"/>
        </w:rPr>
        <w:t xml:space="preserve"> від </w:t>
      </w:r>
      <w:r>
        <w:rPr>
          <w:rFonts w:hint="default"/>
          <w:b/>
          <w:sz w:val="22"/>
          <w:lang w:val="en-US"/>
        </w:rPr>
        <w:t>{{contract_date_ua}}</w:t>
      </w:r>
      <w:r>
        <w:rPr>
          <w:b/>
          <w:sz w:val="22"/>
          <w:lang w:val="uk-UA"/>
        </w:rPr>
        <w:t xml:space="preserve"> р. </w:t>
      </w:r>
    </w:p>
    <w:p>
      <w:pPr>
        <w:tabs>
          <w:tab w:val="left" w:pos="7513"/>
        </w:tabs>
        <w:jc w:val="center"/>
        <w:rPr>
          <w:b/>
          <w:bCs/>
          <w:sz w:val="24"/>
          <w:szCs w:val="22"/>
          <w:lang w:val="uk-UA"/>
        </w:rPr>
      </w:pPr>
      <w:r>
        <w:rPr>
          <w:b/>
          <w:bCs/>
          <w:sz w:val="24"/>
          <w:szCs w:val="22"/>
          <w:lang w:val="uk-UA"/>
        </w:rPr>
        <w:t xml:space="preserve">м. Київ                                                                                                        </w:t>
      </w:r>
      <w:r>
        <w:rPr>
          <w:rFonts w:hint="default"/>
          <w:b/>
          <w:bCs/>
          <w:sz w:val="24"/>
          <w:szCs w:val="22"/>
          <w:lang w:val="en-US"/>
        </w:rPr>
        <w:t>{{</w:t>
      </w:r>
      <w:r>
        <w:rPr>
          <w:rFonts w:hint="default"/>
          <w:b/>
          <w:sz w:val="22"/>
          <w:lang w:val="en-US"/>
        </w:rPr>
        <w:t>contract_date_ua}}</w:t>
      </w:r>
      <w:r>
        <w:rPr>
          <w:b/>
          <w:bCs/>
          <w:sz w:val="24"/>
          <w:szCs w:val="22"/>
          <w:lang w:val="uk-UA"/>
        </w:rPr>
        <w:t xml:space="preserve"> року</w:t>
      </w:r>
    </w:p>
    <w:p>
      <w:pPr>
        <w:ind w:firstLine="540"/>
        <w:jc w:val="both"/>
        <w:rPr>
          <w:sz w:val="24"/>
          <w:szCs w:val="22"/>
          <w:lang w:val="uk-UA"/>
        </w:rPr>
      </w:pPr>
      <w:r>
        <w:rPr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b/>
          <w:color w:val="000000"/>
          <w:spacing w:val="1"/>
          <w:sz w:val="24"/>
          <w:szCs w:val="24"/>
          <w:lang w:val="uk-UA"/>
        </w:rPr>
        <w:t>.</w:t>
      </w:r>
      <w:r>
        <w:rPr>
          <w:sz w:val="24"/>
          <w:szCs w:val="22"/>
          <w:lang w:val="uk-UA"/>
        </w:rPr>
        <w:t xml:space="preserve">, (надалі Продавець), з однієї сторони, та </w:t>
      </w:r>
      <w:r>
        <w:rPr>
          <w:rFonts w:hint="default"/>
          <w:sz w:val="24"/>
          <w:szCs w:val="22"/>
          <w:lang w:val="en-US"/>
        </w:rPr>
        <w:t>{{pib_buyer}}</w:t>
      </w:r>
      <w:r>
        <w:rPr>
          <w:sz w:val="24"/>
          <w:szCs w:val="22"/>
          <w:lang w:val="uk-UA"/>
        </w:rPr>
        <w:t>, з іншої сторони, у подальшому разом «Продавець» та «Покупець» іменуються як «Сторони» і кожен окремо як «Сторона», уклали цю специфікацію №1 (далі по тексту – Специфікація), до Договору поставки №</w:t>
      </w:r>
      <w:r>
        <w:rPr>
          <w:rFonts w:hint="default"/>
          <w:sz w:val="24"/>
          <w:szCs w:val="22"/>
          <w:lang w:val="en-US"/>
        </w:rPr>
        <w:t>{{contract_date}}</w:t>
      </w:r>
      <w:r>
        <w:rPr>
          <w:sz w:val="24"/>
          <w:szCs w:val="22"/>
          <w:lang w:val="uk-UA"/>
        </w:rPr>
        <w:t>/</w:t>
      </w:r>
      <w:r>
        <w:rPr>
          <w:rFonts w:hint="default"/>
          <w:sz w:val="24"/>
          <w:szCs w:val="22"/>
          <w:lang w:val="en-US"/>
        </w:rPr>
        <w:t xml:space="preserve">{{contract_number}} </w:t>
      </w:r>
      <w:r>
        <w:rPr>
          <w:sz w:val="24"/>
          <w:szCs w:val="22"/>
          <w:lang w:val="uk-UA"/>
        </w:rPr>
        <w:t xml:space="preserve">від </w:t>
      </w:r>
      <w:r>
        <w:rPr>
          <w:rFonts w:hint="default"/>
          <w:sz w:val="24"/>
          <w:szCs w:val="22"/>
          <w:lang w:val="en-US"/>
        </w:rPr>
        <w:t>{{contract_date_dots}}</w:t>
      </w:r>
      <w:r>
        <w:rPr>
          <w:sz w:val="24"/>
          <w:szCs w:val="22"/>
          <w:lang w:val="uk-UA"/>
        </w:rPr>
        <w:t xml:space="preserve"> року (далі по тексту – Договір), про наступне:</w:t>
      </w:r>
    </w:p>
    <w:p>
      <w:pPr>
        <w:pStyle w:val="234"/>
        <w:tabs>
          <w:tab w:val="left" w:pos="0"/>
        </w:tabs>
        <w:ind w:left="1065" w:hanging="360"/>
        <w:jc w:val="both"/>
        <w:rPr>
          <w:szCs w:val="22"/>
          <w:lang w:val="uk-UA"/>
        </w:rPr>
      </w:pPr>
      <w:r>
        <w:rPr>
          <w:szCs w:val="22"/>
          <w:lang w:val="ru-RU"/>
        </w:rPr>
        <w:t xml:space="preserve">1. </w:t>
      </w:r>
      <w:r>
        <w:rPr>
          <w:szCs w:val="22"/>
          <w:lang w:val="uk-UA"/>
        </w:rPr>
        <w:t xml:space="preserve">Відповідно до  Договору, Сторони погодили наступні умови поставки Товару: </w:t>
      </w:r>
    </w:p>
    <w:p>
      <w:pPr>
        <w:tabs>
          <w:tab w:val="left" w:pos="0"/>
        </w:tabs>
        <w:ind w:left="1092" w:hanging="372"/>
        <w:rPr>
          <w:b/>
          <w:bCs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</w:rPr>
        <w:t xml:space="preserve">1.1. </w:t>
      </w:r>
      <w:r>
        <w:rPr>
          <w:b/>
          <w:bCs/>
          <w:sz w:val="22"/>
          <w:szCs w:val="22"/>
          <w:lang w:val="uk-UA"/>
        </w:rPr>
        <w:t>НАЙМЕНУВАННЯ, ХАРАКТЕРИСТИКА ТА ЦІНА ТОВАРУ, ЩО ПОСТАВЛЯЄТЬСЯ ЗГІДНО ЦІЄЇ 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6082"/>
        <w:gridCol w:w="851"/>
        <w:gridCol w:w="1134"/>
        <w:gridCol w:w="1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9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№</w:t>
            </w:r>
          </w:p>
        </w:tc>
        <w:tc>
          <w:tcPr>
            <w:tcW w:w="6082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Найменування та характеристики</w:t>
            </w:r>
          </w:p>
        </w:tc>
        <w:tc>
          <w:tcPr>
            <w:tcW w:w="851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К-сть</w:t>
            </w:r>
          </w:p>
        </w:tc>
        <w:tc>
          <w:tcPr>
            <w:tcW w:w="113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Ціна в </w:t>
            </w:r>
            <w:r>
              <w:rPr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673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Ціна в грн. з ПДВ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0" w:hRule="atLeast"/>
        </w:trPr>
        <w:tc>
          <w:tcPr>
            <w:tcW w:w="439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6082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Електроскутер E</w:t>
            </w:r>
            <w:r>
              <w:rPr>
                <w:szCs w:val="24"/>
                <w:lang w:val="en-US"/>
              </w:rPr>
              <w:t>L</w:t>
            </w:r>
            <w:r>
              <w:rPr>
                <w:szCs w:val="24"/>
              </w:rPr>
              <w:t>W</w:t>
            </w:r>
            <w:r>
              <w:rPr>
                <w:szCs w:val="24"/>
                <w:lang w:val="en-US"/>
              </w:rPr>
              <w:t>INN Retro T</w:t>
            </w:r>
          </w:p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rStyle w:val="222"/>
                <w:b w:val="0"/>
                <w:bCs w:val="0"/>
                <w:szCs w:val="24"/>
              </w:rPr>
            </w:pPr>
            <w:r>
              <w:rPr>
                <w:rStyle w:val="222"/>
                <w:b w:val="0"/>
                <w:bCs w:val="0"/>
                <w:szCs w:val="24"/>
              </w:rPr>
              <w:t xml:space="preserve">Потужність: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{{power}}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  <w:r>
              <w:rPr>
                <w:rStyle w:val="222"/>
                <w:b w:val="0"/>
                <w:bCs w:val="0"/>
                <w:szCs w:val="24"/>
                <w:lang w:val="ru-RU"/>
              </w:rPr>
              <w:t xml:space="preserve"> Ємність</w:t>
            </w:r>
            <w:r>
              <w:rPr>
                <w:rStyle w:val="222"/>
                <w:b w:val="0"/>
                <w:bCs w:val="0"/>
                <w:szCs w:val="24"/>
              </w:rPr>
              <w:t xml:space="preserve"> акумулятора: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{{capacity}}.</w:t>
            </w:r>
            <w:r>
              <w:rPr>
                <w:rStyle w:val="222"/>
                <w:b w:val="0"/>
                <w:bCs w:val="0"/>
                <w:szCs w:val="24"/>
              </w:rPr>
              <w:t xml:space="preserve"> Батарея:</w:t>
            </w:r>
            <w:r>
              <w:rPr>
                <w:szCs w:val="24"/>
              </w:rPr>
              <w:t xml:space="preserve"> </w:t>
            </w:r>
            <w:r>
              <w:rPr>
                <w:rFonts w:hint="default"/>
                <w:b w:val="0"/>
                <w:bCs w:val="0"/>
                <w:szCs w:val="24"/>
                <w:lang w:val="en-US"/>
              </w:rPr>
              <w:t>{{battery_type}}</w:t>
            </w:r>
            <w:r>
              <w:rPr>
                <w:rStyle w:val="222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{{lamp}}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>
              <w:rPr>
                <w:rStyle w:val="222"/>
                <w:b w:val="0"/>
                <w:bCs w:val="0"/>
                <w:szCs w:val="24"/>
              </w:rPr>
              <w:t xml:space="preserve">  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{{alarm}}</w:t>
            </w:r>
            <w:r>
              <w:rPr>
                <w:rStyle w:val="222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{{charger}}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>
              <w:rPr>
                <w:rFonts w:hint="default"/>
                <w:b w:val="0"/>
                <w:bCs w:val="0"/>
                <w:szCs w:val="24"/>
                <w:lang w:val="en-US"/>
              </w:rPr>
              <w:t>{{mirror}}</w:t>
            </w:r>
            <w:r>
              <w:rPr>
                <w:rStyle w:val="222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{{warranty}}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</w:p>
          <w:p>
            <w:pPr>
              <w:pStyle w:val="226"/>
              <w:rPr>
                <w:rStyle w:val="222"/>
                <w:sz w:val="24"/>
                <w:szCs w:val="24"/>
                <w:lang w:val="uk-UA"/>
              </w:rPr>
            </w:pPr>
            <w:r>
              <w:rPr>
                <w:rStyle w:val="222"/>
                <w:sz w:val="24"/>
                <w:szCs w:val="24"/>
                <w:lang w:val="uk-UA"/>
              </w:rPr>
              <w:t xml:space="preserve">Рама № </w:t>
            </w:r>
          </w:p>
          <w:p>
            <w:pPr>
              <w:pStyle w:val="226"/>
              <w:rPr>
                <w:rStyle w:val="222"/>
                <w:sz w:val="24"/>
                <w:szCs w:val="24"/>
                <w:lang w:val="uk-UA"/>
              </w:rPr>
            </w:pPr>
            <w:r>
              <w:rPr>
                <w:rStyle w:val="222"/>
                <w:sz w:val="24"/>
                <w:szCs w:val="24"/>
                <w:lang w:val="uk-UA"/>
              </w:rPr>
              <w:t>Двигун №</w:t>
            </w:r>
            <w:r>
              <w:rPr>
                <w:rStyle w:val="222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226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 xml:space="preserve">Колір: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{{color}}</w:t>
            </w:r>
          </w:p>
          <w:p>
            <w:pPr>
              <w:pStyle w:val="226"/>
            </w:pPr>
            <w:r>
              <w:drawing>
                <wp:inline distT="0" distB="0" distL="0" distR="0">
                  <wp:extent cx="3719830" cy="334327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70" cy="334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26"/>
            </w:pP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1562</w:t>
            </w:r>
          </w:p>
        </w:tc>
        <w:tc>
          <w:tcPr>
            <w:tcW w:w="1673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63730</w:t>
            </w:r>
          </w:p>
        </w:tc>
      </w:tr>
    </w:tbl>
    <w:p>
      <w:pPr>
        <w:tabs>
          <w:tab w:val="left" w:pos="0"/>
        </w:tabs>
        <w:ind w:left="1092" w:hanging="372"/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rPr>
          <w:b/>
          <w:sz w:val="22"/>
          <w:szCs w:val="22"/>
          <w:lang w:val="en-US"/>
        </w:rPr>
      </w:pPr>
    </w:p>
    <w:p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</w:rPr>
        <w:t xml:space="preserve">2. </w:t>
      </w:r>
      <w:r>
        <w:rPr>
          <w:b/>
          <w:sz w:val="22"/>
          <w:szCs w:val="22"/>
          <w:lang w:val="uk-UA"/>
        </w:rPr>
        <w:t>ЕТАПИ ОПЛАТИ ЗА ТОВАР, ЩО ПОСТАВЛЯЄТЬСЯ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30"/>
        <w:gridCol w:w="159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Етап оплати</w:t>
            </w:r>
          </w:p>
        </w:tc>
        <w:tc>
          <w:tcPr>
            <w:tcW w:w="393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Термін оплати по етапу</w:t>
            </w:r>
          </w:p>
        </w:tc>
        <w:tc>
          <w:tcPr>
            <w:tcW w:w="159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Сума по етапу в </w:t>
            </w:r>
            <w:r>
              <w:rPr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788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Сума по етапу в грн.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I етап Специфікації №1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І етап (авансовий платіж)-протягом </w:t>
            </w:r>
            <w:r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uk-UA"/>
              </w:rPr>
              <w:t xml:space="preserve"> (трьох) банківських днів з дня заключення договору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156,2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6373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IІ етап Специфікації №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IІ етап –в день </w:t>
            </w:r>
            <w:r>
              <w:rPr>
                <w:b/>
                <w:bCs/>
                <w:sz w:val="22"/>
                <w:szCs w:val="22"/>
              </w:rPr>
              <w:t>отримання</w:t>
            </w:r>
            <w:r>
              <w:rPr>
                <w:b/>
                <w:bCs/>
                <w:sz w:val="22"/>
                <w:szCs w:val="22"/>
                <w:lang w:val="uk-UA"/>
              </w:rPr>
              <w:t xml:space="preserve"> товару (склад або кур</w:t>
            </w:r>
            <w:r>
              <w:rPr>
                <w:b/>
                <w:bCs/>
                <w:sz w:val="22"/>
                <w:szCs w:val="22"/>
              </w:rPr>
              <w:t>`</w:t>
            </w:r>
            <w:r>
              <w:rPr>
                <w:b/>
                <w:bCs/>
                <w:sz w:val="22"/>
                <w:szCs w:val="22"/>
                <w:lang w:val="uk-UA"/>
              </w:rPr>
              <w:t>єр)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1405,8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57357</w:t>
            </w:r>
          </w:p>
        </w:tc>
      </w:tr>
    </w:tbl>
    <w:p>
      <w:pPr>
        <w:tabs>
          <w:tab w:val="left" w:pos="0"/>
        </w:tabs>
        <w:jc w:val="both"/>
        <w:rPr>
          <w:sz w:val="24"/>
          <w:szCs w:val="22"/>
          <w:lang w:val="uk-UA"/>
        </w:rPr>
      </w:pPr>
      <w:r>
        <w:rPr>
          <w:sz w:val="24"/>
          <w:szCs w:val="22"/>
        </w:rPr>
        <w:t>2.1</w:t>
      </w:r>
      <w:r>
        <w:rPr>
          <w:sz w:val="24"/>
          <w:szCs w:val="22"/>
          <w:lang w:val="uk-UA"/>
        </w:rPr>
        <w:t xml:space="preserve"> Грошовий еквівалент вартості Товару в долар США,  вказаний  в п. 1.1. цієї специфікації, наведені з розрахунку курсу іноземної валюти на  ринку станом на </w:t>
      </w:r>
      <w:r>
        <w:rPr>
          <w:rFonts w:hint="default"/>
          <w:sz w:val="24"/>
          <w:szCs w:val="22"/>
          <w:lang w:val="en-US"/>
        </w:rPr>
        <w:t>{{contract_date_dots}}</w:t>
      </w:r>
      <w:r>
        <w:rPr>
          <w:sz w:val="24"/>
          <w:szCs w:val="22"/>
          <w:lang w:val="uk-UA"/>
        </w:rPr>
        <w:t xml:space="preserve">р. (1 </w:t>
      </w:r>
      <w:r>
        <w:rPr>
          <w:sz w:val="24"/>
          <w:szCs w:val="22"/>
        </w:rPr>
        <w:t>$</w:t>
      </w:r>
      <w:r>
        <w:rPr>
          <w:sz w:val="24"/>
          <w:szCs w:val="22"/>
          <w:lang w:val="uk-UA"/>
        </w:rPr>
        <w:t xml:space="preserve"> = </w:t>
      </w:r>
      <w:r>
        <w:rPr>
          <w:rFonts w:hint="default"/>
          <w:sz w:val="24"/>
          <w:szCs w:val="22"/>
          <w:lang w:val="en-US"/>
        </w:rPr>
        <w:t>{{dollar_rate}}</w:t>
      </w:r>
      <w:r>
        <w:rPr>
          <w:sz w:val="24"/>
          <w:szCs w:val="22"/>
          <w:lang w:val="uk-UA"/>
        </w:rPr>
        <w:t xml:space="preserve"> гривень)</w:t>
      </w:r>
      <w:r>
        <w:rPr>
          <w:sz w:val="24"/>
          <w:szCs w:val="22"/>
        </w:rPr>
        <w:t xml:space="preserve">. </w:t>
      </w:r>
      <w:r>
        <w:rPr>
          <w:sz w:val="24"/>
          <w:szCs w:val="22"/>
          <w:lang w:val="uk-UA"/>
        </w:rPr>
        <w:t xml:space="preserve">Згідно інформаційного ресурсу </w:t>
      </w:r>
      <w:r>
        <w:rPr>
          <w:sz w:val="24"/>
          <w:szCs w:val="22"/>
          <w:lang w:val="en-US"/>
        </w:rPr>
        <w:t>minfin</w:t>
      </w:r>
      <w:r>
        <w:rPr>
          <w:sz w:val="24"/>
          <w:szCs w:val="22"/>
        </w:rPr>
        <w:t>.</w:t>
      </w:r>
      <w:r>
        <w:rPr>
          <w:sz w:val="24"/>
          <w:szCs w:val="22"/>
          <w:lang w:val="en-US"/>
        </w:rPr>
        <w:t>com</w:t>
      </w:r>
      <w:r>
        <w:rPr>
          <w:sz w:val="24"/>
          <w:szCs w:val="22"/>
        </w:rPr>
        <w:t>.</w:t>
      </w:r>
      <w:r>
        <w:rPr>
          <w:sz w:val="24"/>
          <w:szCs w:val="22"/>
          <w:lang w:val="en-US"/>
        </w:rPr>
        <w:t>ua</w:t>
      </w:r>
      <w:r>
        <w:rPr>
          <w:sz w:val="24"/>
          <w:szCs w:val="22"/>
        </w:rPr>
        <w:t>.</w:t>
      </w:r>
      <w:r>
        <w:rPr>
          <w:sz w:val="24"/>
          <w:szCs w:val="22"/>
          <w:lang w:val="uk-UA"/>
        </w:rPr>
        <w:t xml:space="preserve">У разі зміни курсу долар США до національної валюти України – гривні, на дату оплати по етапу ІІ більш ніж на </w:t>
      </w:r>
      <w:r>
        <w:rPr>
          <w:sz w:val="24"/>
          <w:szCs w:val="22"/>
        </w:rPr>
        <w:t>1</w:t>
      </w:r>
      <w:r>
        <w:rPr>
          <w:sz w:val="24"/>
          <w:szCs w:val="22"/>
          <w:lang w:val="uk-UA"/>
        </w:rPr>
        <w:t>%, відносно ку</w:t>
      </w:r>
      <w:bookmarkStart w:id="0" w:name="_GoBack"/>
      <w:bookmarkEnd w:id="0"/>
      <w:r>
        <w:rPr>
          <w:sz w:val="24"/>
          <w:szCs w:val="22"/>
          <w:lang w:val="uk-UA"/>
        </w:rPr>
        <w:t xml:space="preserve">рсу визначеного в п. </w:t>
      </w:r>
      <w:r>
        <w:rPr>
          <w:sz w:val="24"/>
          <w:szCs w:val="22"/>
        </w:rPr>
        <w:t>2.1.</w:t>
      </w:r>
      <w:r>
        <w:rPr>
          <w:sz w:val="24"/>
          <w:szCs w:val="22"/>
          <w:lang w:val="uk-UA"/>
        </w:rPr>
        <w:t xml:space="preserve"> цієї Специфікації, розмір коштів, які оплачуються Покупцем за Товар, підлягає зміні пропорційно до зміни курсу. В разі відкриття порту в м. Одеса до </w:t>
      </w:r>
      <w:r>
        <w:rPr>
          <w:rFonts w:hint="default"/>
          <w:sz w:val="24"/>
          <w:szCs w:val="22"/>
          <w:lang w:val="en-US"/>
        </w:rPr>
        <w:t>{{odesa_date}}</w:t>
      </w:r>
      <w:r>
        <w:rPr>
          <w:sz w:val="24"/>
          <w:szCs w:val="22"/>
          <w:lang w:val="uk-UA"/>
        </w:rPr>
        <w:t xml:space="preserve"> року ціна товару становитиме 1420 доларів.</w:t>
      </w:r>
    </w:p>
    <w:p>
      <w:pPr>
        <w:tabs>
          <w:tab w:val="left" w:pos="0"/>
        </w:tabs>
        <w:ind w:left="928"/>
        <w:jc w:val="both"/>
        <w:rPr>
          <w:sz w:val="24"/>
          <w:szCs w:val="22"/>
          <w:lang w:val="uk-UA"/>
        </w:rPr>
      </w:pPr>
    </w:p>
    <w:p>
      <w:pPr>
        <w:tabs>
          <w:tab w:val="left" w:pos="0"/>
        </w:tabs>
        <w:ind w:left="928"/>
        <w:jc w:val="both"/>
        <w:rPr>
          <w:lang w:val="uk-UA"/>
        </w:rPr>
      </w:pPr>
    </w:p>
    <w:p>
      <w:pPr>
        <w:tabs>
          <w:tab w:val="left" w:pos="0"/>
        </w:tabs>
        <w:jc w:val="both"/>
      </w:pPr>
    </w:p>
    <w:p>
      <w:pPr>
        <w:ind w:left="1770" w:hanging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</w:rPr>
        <w:t xml:space="preserve">3. </w:t>
      </w:r>
      <w:r>
        <w:rPr>
          <w:b/>
          <w:sz w:val="22"/>
          <w:szCs w:val="22"/>
          <w:lang w:val="uk-UA"/>
        </w:rPr>
        <w:t>СТРОКИ ПОСТАВКИ ТОВАРУ,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4"/>
        <w:gridCol w:w="45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4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Термін відвантаження товару</w:t>
            </w:r>
          </w:p>
        </w:tc>
        <w:tc>
          <w:tcPr>
            <w:tcW w:w="450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Адреса відвантаження товару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5544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Сто (100) днів з моменту передоплати по етапу І</w:t>
            </w:r>
          </w:p>
        </w:tc>
        <w:tc>
          <w:tcPr>
            <w:tcW w:w="450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pStyle w:val="226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м. Київ проспект Відрадний 95п</w:t>
            </w:r>
          </w:p>
        </w:tc>
      </w:tr>
    </w:tbl>
    <w:p>
      <w:pPr>
        <w:pStyle w:val="234"/>
        <w:tabs>
          <w:tab w:val="left" w:pos="284"/>
        </w:tabs>
        <w:ind w:left="0"/>
        <w:jc w:val="both"/>
        <w:rPr>
          <w:szCs w:val="22"/>
          <w:lang w:val="uk-UA"/>
        </w:rPr>
      </w:pPr>
      <w:r>
        <w:rPr>
          <w:szCs w:val="22"/>
          <w:lang w:val="ru-RU"/>
        </w:rPr>
        <w:t>3.1</w:t>
      </w:r>
      <w:r>
        <w:rPr>
          <w:szCs w:val="22"/>
          <w:lang w:val="uk-UA"/>
        </w:rPr>
        <w:t xml:space="preserve">. </w:t>
      </w:r>
      <w:r>
        <w:rPr>
          <w:rStyle w:val="221"/>
          <w:szCs w:val="22"/>
          <w:lang w:val="uk-UA"/>
        </w:rPr>
        <w:t>Сторони домовилися</w:t>
      </w:r>
      <w:r>
        <w:rPr>
          <w:szCs w:val="22"/>
          <w:lang w:val="uk-UA"/>
        </w:rPr>
        <w:t xml:space="preserve">, </w:t>
      </w:r>
      <w:r>
        <w:rPr>
          <w:rStyle w:val="221"/>
          <w:szCs w:val="22"/>
          <w:lang w:val="uk-UA"/>
        </w:rPr>
        <w:t>що</w:t>
      </w:r>
      <w:r>
        <w:rPr>
          <w:szCs w:val="22"/>
          <w:lang w:val="uk-UA"/>
        </w:rPr>
        <w:t xml:space="preserve"> </w:t>
      </w:r>
      <w:r>
        <w:rPr>
          <w:rStyle w:val="221"/>
          <w:szCs w:val="22"/>
          <w:lang w:val="uk-UA"/>
        </w:rPr>
        <w:t>в</w:t>
      </w:r>
      <w:r>
        <w:rPr>
          <w:szCs w:val="22"/>
          <w:lang w:val="uk-UA"/>
        </w:rPr>
        <w:t xml:space="preserve"> усьому іншому, що не передбачено умовами даної Специфікації, Сторони будуть керуватися положеннями Договору.</w:t>
      </w:r>
    </w:p>
    <w:p>
      <w:pPr>
        <w:pStyle w:val="234"/>
        <w:tabs>
          <w:tab w:val="left" w:pos="284"/>
        </w:tabs>
        <w:ind w:left="0"/>
        <w:jc w:val="both"/>
        <w:rPr>
          <w:sz w:val="22"/>
          <w:szCs w:val="22"/>
          <w:lang w:val="uk-UA"/>
        </w:rPr>
      </w:pPr>
      <w:r>
        <w:rPr>
          <w:szCs w:val="22"/>
          <w:lang w:val="uk-UA"/>
        </w:rPr>
        <w:t>3.</w:t>
      </w:r>
      <w:r>
        <w:rPr>
          <w:szCs w:val="22"/>
          <w:lang w:val="ru-RU"/>
        </w:rPr>
        <w:t>2</w:t>
      </w:r>
      <w:r>
        <w:rPr>
          <w:szCs w:val="22"/>
          <w:lang w:val="uk-UA"/>
        </w:rPr>
        <w:t xml:space="preserve">. Ця Специфікація складена при повному розумінні Сторонами її умов та термінології українською мовою у двох автентичних примірниках, які мають однакову юридичну </w:t>
      </w:r>
      <w:r>
        <w:rPr>
          <w:sz w:val="22"/>
          <w:szCs w:val="22"/>
          <w:lang w:val="uk-UA"/>
        </w:rPr>
        <w:t>силу, - по одному для кожної із Сторін.</w:t>
      </w:r>
    </w:p>
    <w:p>
      <w:pPr>
        <w:pStyle w:val="234"/>
        <w:tabs>
          <w:tab w:val="left" w:pos="284"/>
        </w:tabs>
        <w:ind w:left="0"/>
        <w:jc w:val="both"/>
        <w:rPr>
          <w:lang w:val="uk-UA"/>
        </w:rPr>
      </w:pPr>
      <w:r>
        <w:rPr>
          <w:lang w:val="uk-UA"/>
        </w:rPr>
        <w:t>3.3. Ця Специфікація є невід’ємною частиною Договору.</w:t>
      </w:r>
    </w:p>
    <w:p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4. РЕКВІЗИТИ ТА АДРЕСИ СТОРІН</w:t>
      </w:r>
    </w:p>
    <w:tbl>
      <w:tblPr>
        <w:tblStyle w:val="12"/>
        <w:tblW w:w="0" w:type="auto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lang w:eastAsia="ru-RU"/>
              </w:rPr>
              <w:pict>
                <v:shape id="_x0000_i1026" o:spt="75" type="#_x0000_t75" style="height:109.35pt;width:109.4pt;" filled="f" o:preferrelative="t" stroked="f" coordsize="21600,21600">
                  <v:path/>
                  <v:fill on="f" focussize="0,0"/>
                  <v:stroke on="f"/>
                  <v:imagedata r:id="rId4" o:title=""/>
                  <o:lock v:ext="edit" aspectratio="f"/>
                  <w10:wrap type="none"/>
                  <w10:anchorlock/>
                </v:shape>
              </w:pict>
            </w:r>
            <w:r>
              <w:rPr>
                <w:b/>
                <w:lang w:val="uk-UA" w:eastAsia="ru-RU"/>
              </w:rPr>
              <w:t>_________</w:t>
            </w:r>
            <w:r>
              <w:rPr>
                <w:b/>
                <w:bCs/>
                <w:lang w:val="uk-UA"/>
              </w:rPr>
              <w:t>Черноусова О.П.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{{date_birth}} рн.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Адреса доставки: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{{region}} </w:t>
            </w:r>
          </w:p>
          <w:p>
            <w:pPr>
              <w:spacing w:line="276" w:lineRule="auto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{{area}}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{{settle_type}}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{{settle_name}}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{{street}}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отримувач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{{pib_receiver}}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{{phone}}</w:t>
            </w:r>
          </w:p>
          <w:p>
            <w:pPr>
              <w:pStyle w:val="226"/>
              <w:spacing w:line="276" w:lineRule="auto"/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___________________</w:t>
            </w:r>
            <w: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</w:tc>
      </w:tr>
    </w:tbl>
    <w:p>
      <w:pPr>
        <w:rPr>
          <w:lang w:val="uk-UA"/>
        </w:rPr>
      </w:pPr>
    </w:p>
    <w:sectPr>
      <w:pgSz w:w="11906" w:h="16838"/>
      <w:pgMar w:top="567" w:right="567" w:bottom="567" w:left="70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roid Sans"/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Microsoft YaHei">
    <w:altName w:val="思源黑体 CN"/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D2B43"/>
    <w:multiLevelType w:val="multilevel"/>
    <w:tmpl w:val="EFBD2B43"/>
    <w:lvl w:ilvl="0" w:tentative="0">
      <w:start w:val="1"/>
      <w:numFmt w:val="decimal"/>
      <w:lvlText w:val="3.%1."/>
      <w:lvlJc w:val="left"/>
      <w:pPr>
        <w:tabs>
          <w:tab w:val="left" w:pos="0"/>
        </w:tabs>
        <w:ind w:left="0" w:firstLine="0"/>
      </w:pPr>
      <w:rPr>
        <w:color w:val="000000"/>
        <w:lang w:val="ru-RU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BBFB608"/>
    <w:multiLevelType w:val="multilevel"/>
    <w:tmpl w:val="FBBFB60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072"/>
        </w:tabs>
        <w:ind w:left="4072" w:hanging="1800"/>
      </w:pPr>
    </w:lvl>
  </w:abstractNum>
  <w:abstractNum w:abstractNumId="2">
    <w:nsid w:val="FD2FFA26"/>
    <w:multiLevelType w:val="multilevel"/>
    <w:tmpl w:val="FD2FFA26"/>
    <w:lvl w:ilvl="0" w:tentative="0">
      <w:start w:val="2"/>
      <w:numFmt w:val="decimal"/>
      <w:lvlText w:val="%1."/>
      <w:lvlJc w:val="left"/>
      <w:pPr>
        <w:tabs>
          <w:tab w:val="left" w:pos="375"/>
        </w:tabs>
        <w:ind w:left="375" w:hanging="375"/>
      </w:pPr>
      <w:rPr>
        <w:color w:val="000000"/>
      </w:rPr>
    </w:lvl>
    <w:lvl w:ilvl="1" w:tentative="0">
      <w:start w:val="4"/>
      <w:numFmt w:val="decimal"/>
      <w:lvlText w:val="%1.%2."/>
      <w:lvlJc w:val="left"/>
      <w:pPr>
        <w:tabs>
          <w:tab w:val="left" w:pos="659"/>
        </w:tabs>
        <w:ind w:left="659" w:hanging="375"/>
      </w:pPr>
      <w:rPr>
        <w:color w:val="000000"/>
      </w:r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  <w:rPr>
        <w:color w:val="000000"/>
      </w:r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  <w:rPr>
        <w:color w:val="000000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  <w:rPr>
        <w:color w:val="000000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  <w:rPr>
        <w:color w:val="000000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  <w:rPr>
        <w:color w:val="000000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072"/>
        </w:tabs>
        <w:ind w:left="4072" w:hanging="1800"/>
      </w:pPr>
      <w:rPr>
        <w:color w:val="000000"/>
      </w:rPr>
    </w:lvl>
  </w:abstractNum>
  <w:abstractNum w:abstractNumId="3">
    <w:nsid w:val="FDCE0769"/>
    <w:multiLevelType w:val="multilevel"/>
    <w:tmpl w:val="FDCE0769"/>
    <w:lvl w:ilvl="0" w:tentative="0">
      <w:start w:val="4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3712"/>
        </w:tabs>
        <w:ind w:left="3712" w:hanging="1440"/>
      </w:pPr>
    </w:lvl>
  </w:abstractNum>
  <w:abstractNum w:abstractNumId="4">
    <w:nsid w:val="2FDE9C3A"/>
    <w:multiLevelType w:val="multilevel"/>
    <w:tmpl w:val="2FDE9C3A"/>
    <w:lvl w:ilvl="0" w:tentative="0">
      <w:start w:val="1"/>
      <w:numFmt w:val="decimal"/>
      <w:pStyle w:val="18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5">
    <w:nsid w:val="6F9F305D"/>
    <w:multiLevelType w:val="multilevel"/>
    <w:tmpl w:val="6F9F305D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1.%2"/>
      <w:lvlJc w:val="left"/>
      <w:pPr>
        <w:tabs>
          <w:tab w:val="left" w:pos="928"/>
        </w:tabs>
        <w:ind w:left="928" w:hanging="360"/>
      </w:pPr>
    </w:lvl>
    <w:lvl w:ilvl="2" w:tentative="0">
      <w:start w:val="1"/>
      <w:numFmt w:val="decimal"/>
      <w:lvlText w:val="%1.%2.%3"/>
      <w:lvlJc w:val="left"/>
      <w:pPr>
        <w:tabs>
          <w:tab w:val="left" w:pos="1004"/>
        </w:tabs>
        <w:ind w:left="1004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004"/>
        </w:tabs>
        <w:ind w:left="1004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1364"/>
        </w:tabs>
        <w:ind w:left="1364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1364"/>
        </w:tabs>
        <w:ind w:left="1364" w:hanging="1080"/>
      </w:pPr>
    </w:lvl>
    <w:lvl w:ilvl="6" w:tentative="0">
      <w:start w:val="1"/>
      <w:numFmt w:val="decimal"/>
      <w:lvlText w:val="%1.%2.%3.%4.%5.%6.%7"/>
      <w:lvlJc w:val="left"/>
      <w:pPr>
        <w:tabs>
          <w:tab w:val="left" w:pos="1724"/>
        </w:tabs>
        <w:ind w:left="1724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084"/>
        </w:tabs>
        <w:ind w:left="2084" w:hanging="18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D2D12"/>
    <w:rsid w:val="1A7DE584"/>
    <w:rsid w:val="1E9DED53"/>
    <w:rsid w:val="1FFBDF11"/>
    <w:rsid w:val="2EDFFCC4"/>
    <w:rsid w:val="345F0BC5"/>
    <w:rsid w:val="3CBFABA7"/>
    <w:rsid w:val="3FFF5D22"/>
    <w:rsid w:val="41F57421"/>
    <w:rsid w:val="5AE3A148"/>
    <w:rsid w:val="5BCFD0CF"/>
    <w:rsid w:val="5DAEB80D"/>
    <w:rsid w:val="65BFF40C"/>
    <w:rsid w:val="67FB564B"/>
    <w:rsid w:val="72F51CBB"/>
    <w:rsid w:val="77FB1A6B"/>
    <w:rsid w:val="77FEE9E7"/>
    <w:rsid w:val="7977AFCB"/>
    <w:rsid w:val="7AF94022"/>
    <w:rsid w:val="7DBB8F32"/>
    <w:rsid w:val="7EEE3BE3"/>
    <w:rsid w:val="7F7D7FB4"/>
    <w:rsid w:val="7FD6F6EC"/>
    <w:rsid w:val="7FDD78C9"/>
    <w:rsid w:val="7FDFD41F"/>
    <w:rsid w:val="7FEEFA70"/>
    <w:rsid w:val="997B4063"/>
    <w:rsid w:val="9ED3336F"/>
    <w:rsid w:val="A7DEC1A4"/>
    <w:rsid w:val="AADD9558"/>
    <w:rsid w:val="AFBF68C4"/>
    <w:rsid w:val="B7EFF0A9"/>
    <w:rsid w:val="BD7DAF46"/>
    <w:rsid w:val="BFEFAF5D"/>
    <w:rsid w:val="BFFF0767"/>
    <w:rsid w:val="CDEEAF0B"/>
    <w:rsid w:val="D7FE7887"/>
    <w:rsid w:val="DDFB7AC8"/>
    <w:rsid w:val="E7FF79A0"/>
    <w:rsid w:val="E9DF6978"/>
    <w:rsid w:val="EDEF36C5"/>
    <w:rsid w:val="EFFA0154"/>
    <w:rsid w:val="F7831333"/>
    <w:rsid w:val="F78B3AF5"/>
    <w:rsid w:val="F7F710E1"/>
    <w:rsid w:val="F9379870"/>
    <w:rsid w:val="FB5CDABF"/>
    <w:rsid w:val="FBFF4721"/>
    <w:rsid w:val="FBFFCBD1"/>
    <w:rsid w:val="FD7B499D"/>
    <w:rsid w:val="FDDFAFAD"/>
    <w:rsid w:val="FDEF2E00"/>
    <w:rsid w:val="FE7FD716"/>
    <w:rsid w:val="FEDFDEE7"/>
    <w:rsid w:val="FEFFCA92"/>
    <w:rsid w:val="FF33B952"/>
    <w:rsid w:val="FFDD2708"/>
    <w:rsid w:val="FFF755C7"/>
    <w:rsid w:val="FFFB9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24"/>
    <w:qFormat/>
    <w:uiPriority w:val="0"/>
    <w:pPr>
      <w:widowControl w:val="0"/>
    </w:pPr>
    <w:rPr>
      <w:rFonts w:asciiTheme="minorHAnsi" w:hAnsiTheme="minorHAnsi" w:eastAsiaTheme="minorEastAsia" w:cstheme="minorBidi"/>
      <w:lang w:val="ru-RU" w:eastAsia="ar-SA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000FF" w:themeColor="hyperlink"/>
      <w:u w:val="single"/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asciiTheme="minorHAnsi" w:hAnsiTheme="minorHAnsi" w:eastAsiaTheme="minorEastAsia" w:cstheme="minorBidi"/>
      <w:lang w:val="ru-RU" w:eastAsia="zh-CN" w:bidi="ar-SA"/>
    </w:rPr>
  </w:style>
  <w:style w:type="character" w:customStyle="1" w:styleId="45">
    <w:name w:val="Title Char"/>
    <w:link w:val="24"/>
    <w:uiPriority w:val="10"/>
    <w:rPr>
      <w:sz w:val="48"/>
      <w:szCs w:val="48"/>
    </w:rPr>
  </w:style>
  <w:style w:type="character" w:customStyle="1" w:styleId="46">
    <w:name w:val="Subtitle Char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link w:val="19"/>
    <w:uiPriority w:val="99"/>
  </w:style>
  <w:style w:type="character" w:customStyle="1" w:styleId="52">
    <w:name w:val="Footer Char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Theme="minorHAnsi" w:hAnsiTheme="minorHAnsi" w:eastAsiaTheme="minorEastAsia" w:cstheme="minorBidi"/>
      <w:lang w:val="ru-RU" w:eastAsia="zh-CN" w:bidi="ar-SA"/>
    </w:rPr>
  </w:style>
  <w:style w:type="paragraph" w:customStyle="1" w:styleId="182">
    <w:name w:val="Заголовок 1"/>
    <w:basedOn w:val="1"/>
    <w:next w:val="1"/>
    <w:uiPriority w:val="0"/>
    <w:pPr>
      <w:keepNext/>
      <w:numPr>
        <w:ilvl w:val="0"/>
        <w:numId w:val="1"/>
      </w:numPr>
      <w:tabs>
        <w:tab w:val="left" w:pos="426"/>
      </w:tabs>
      <w:jc w:val="center"/>
      <w:outlineLvl w:val="0"/>
    </w:pPr>
    <w:rPr>
      <w:b/>
      <w:bCs/>
      <w:sz w:val="24"/>
      <w:lang w:val="uk-UA"/>
    </w:rPr>
  </w:style>
  <w:style w:type="character" w:customStyle="1" w:styleId="183">
    <w:name w:val="Основной шрифт абзаца"/>
    <w:link w:val="1"/>
    <w:uiPriority w:val="0"/>
  </w:style>
  <w:style w:type="table" w:customStyle="1" w:styleId="184">
    <w:name w:val="Обычная таблица"/>
    <w:semiHidden/>
    <w:uiPriority w:val="0"/>
  </w:style>
  <w:style w:type="character" w:customStyle="1" w:styleId="185">
    <w:name w:val="WW8Num2z0"/>
    <w:link w:val="1"/>
    <w:uiPriority w:val="0"/>
    <w:rPr>
      <w:color w:val="000000"/>
    </w:rPr>
  </w:style>
  <w:style w:type="character" w:customStyle="1" w:styleId="186">
    <w:name w:val="WW8Num3z0"/>
    <w:link w:val="1"/>
    <w:uiPriority w:val="0"/>
    <w:rPr>
      <w:color w:val="000000"/>
      <w:lang w:val="ru-RU"/>
    </w:rPr>
  </w:style>
  <w:style w:type="character" w:customStyle="1" w:styleId="187">
    <w:name w:val="Основной шрифт абзаца9"/>
    <w:link w:val="1"/>
    <w:uiPriority w:val="0"/>
  </w:style>
  <w:style w:type="character" w:customStyle="1" w:styleId="188">
    <w:name w:val="Absatz-Standardschriftart"/>
    <w:link w:val="1"/>
    <w:uiPriority w:val="0"/>
  </w:style>
  <w:style w:type="character" w:customStyle="1" w:styleId="189">
    <w:name w:val="Основной шрифт абзаца8"/>
    <w:link w:val="1"/>
    <w:uiPriority w:val="0"/>
  </w:style>
  <w:style w:type="character" w:customStyle="1" w:styleId="190">
    <w:name w:val="WW-Absatz-Standardschriftart"/>
    <w:link w:val="1"/>
    <w:uiPriority w:val="0"/>
  </w:style>
  <w:style w:type="character" w:customStyle="1" w:styleId="191">
    <w:name w:val="WW-Absatz-Standardschriftart1"/>
    <w:link w:val="1"/>
    <w:uiPriority w:val="0"/>
  </w:style>
  <w:style w:type="character" w:customStyle="1" w:styleId="192">
    <w:name w:val="WW-Absatz-Standardschriftart11"/>
    <w:link w:val="1"/>
    <w:uiPriority w:val="0"/>
  </w:style>
  <w:style w:type="character" w:customStyle="1" w:styleId="193">
    <w:name w:val="WW8Num7z0"/>
    <w:link w:val="1"/>
    <w:uiPriority w:val="0"/>
    <w:rPr>
      <w:color w:val="000000"/>
    </w:rPr>
  </w:style>
  <w:style w:type="character" w:customStyle="1" w:styleId="194">
    <w:name w:val="WW-Absatz-Standardschriftart111"/>
    <w:link w:val="1"/>
    <w:uiPriority w:val="0"/>
  </w:style>
  <w:style w:type="character" w:customStyle="1" w:styleId="195">
    <w:name w:val="Основной шрифт абзаца7"/>
    <w:link w:val="1"/>
    <w:uiPriority w:val="0"/>
  </w:style>
  <w:style w:type="character" w:customStyle="1" w:styleId="196">
    <w:name w:val="WW-Absatz-Standardschriftart1111"/>
    <w:link w:val="1"/>
    <w:uiPriority w:val="0"/>
  </w:style>
  <w:style w:type="character" w:customStyle="1" w:styleId="197">
    <w:name w:val="Основной шрифт абзаца6"/>
    <w:link w:val="1"/>
    <w:uiPriority w:val="0"/>
  </w:style>
  <w:style w:type="character" w:customStyle="1" w:styleId="198">
    <w:name w:val="WW-Absatz-Standardschriftart11111"/>
    <w:link w:val="1"/>
    <w:uiPriority w:val="0"/>
  </w:style>
  <w:style w:type="character" w:customStyle="1" w:styleId="199">
    <w:name w:val="WW-Absatz-Standardschriftart111111"/>
    <w:link w:val="1"/>
    <w:uiPriority w:val="0"/>
  </w:style>
  <w:style w:type="character" w:customStyle="1" w:styleId="200">
    <w:name w:val="Основной шрифт абзаца5"/>
    <w:link w:val="1"/>
    <w:uiPriority w:val="0"/>
  </w:style>
  <w:style w:type="character" w:customStyle="1" w:styleId="201">
    <w:name w:val="Основной шрифт абзаца4"/>
    <w:link w:val="1"/>
    <w:uiPriority w:val="0"/>
  </w:style>
  <w:style w:type="character" w:customStyle="1" w:styleId="202">
    <w:name w:val="Основной шрифт абзаца3"/>
    <w:link w:val="1"/>
    <w:uiPriority w:val="0"/>
  </w:style>
  <w:style w:type="character" w:customStyle="1" w:styleId="203">
    <w:name w:val="WW-Absatz-Standardschriftart1111111"/>
    <w:link w:val="1"/>
    <w:uiPriority w:val="0"/>
  </w:style>
  <w:style w:type="character" w:customStyle="1" w:styleId="204">
    <w:name w:val="Основной шрифт абзаца2"/>
    <w:link w:val="1"/>
    <w:uiPriority w:val="0"/>
  </w:style>
  <w:style w:type="character" w:customStyle="1" w:styleId="205">
    <w:name w:val="WW-Absatz-Standardschriftart11111111"/>
    <w:link w:val="1"/>
    <w:uiPriority w:val="0"/>
  </w:style>
  <w:style w:type="character" w:customStyle="1" w:styleId="206">
    <w:name w:val="WW-Absatz-Standardschriftart111111111"/>
    <w:link w:val="1"/>
    <w:uiPriority w:val="0"/>
  </w:style>
  <w:style w:type="character" w:customStyle="1" w:styleId="207">
    <w:name w:val="WW-Absatz-Standardschriftart1111111111"/>
    <w:link w:val="1"/>
    <w:uiPriority w:val="0"/>
  </w:style>
  <w:style w:type="character" w:customStyle="1" w:styleId="208">
    <w:name w:val="WW-Absatz-Standardschriftart11111111111"/>
    <w:link w:val="1"/>
    <w:uiPriority w:val="0"/>
  </w:style>
  <w:style w:type="character" w:customStyle="1" w:styleId="209">
    <w:name w:val="WW-Absatz-Standardschriftart111111111111"/>
    <w:link w:val="1"/>
    <w:uiPriority w:val="0"/>
  </w:style>
  <w:style w:type="character" w:customStyle="1" w:styleId="210">
    <w:name w:val="WW8Num1z0"/>
    <w:link w:val="1"/>
    <w:uiPriority w:val="0"/>
    <w:rPr>
      <w:color w:val="000000"/>
    </w:rPr>
  </w:style>
  <w:style w:type="character" w:customStyle="1" w:styleId="211">
    <w:name w:val="WW8Num3z1"/>
    <w:link w:val="1"/>
    <w:uiPriority w:val="0"/>
    <w:rPr>
      <w:color w:val="000000"/>
    </w:rPr>
  </w:style>
  <w:style w:type="character" w:customStyle="1" w:styleId="212">
    <w:name w:val="WW8Num4z0"/>
    <w:link w:val="1"/>
    <w:uiPriority w:val="0"/>
    <w:rPr>
      <w:rFonts w:ascii="Times New Roman" w:hAnsi="Times New Roman"/>
    </w:rPr>
  </w:style>
  <w:style w:type="character" w:customStyle="1" w:styleId="213">
    <w:name w:val="WW8Num5z0"/>
    <w:link w:val="1"/>
    <w:uiPriority w:val="0"/>
    <w:rPr>
      <w:rFonts w:ascii="Times New Roman" w:hAnsi="Times New Roman"/>
      <w:lang w:val="ru-RU"/>
    </w:rPr>
  </w:style>
  <w:style w:type="character" w:customStyle="1" w:styleId="214">
    <w:name w:val="WW8Num8z0"/>
    <w:link w:val="1"/>
    <w:uiPriority w:val="0"/>
    <w:rPr>
      <w:rFonts w:ascii="Times New Roman" w:hAnsi="Times New Roman"/>
    </w:rPr>
  </w:style>
  <w:style w:type="character" w:customStyle="1" w:styleId="215">
    <w:name w:val="WW8Num9z0"/>
    <w:link w:val="1"/>
    <w:uiPriority w:val="0"/>
    <w:rPr>
      <w:rFonts w:ascii="Times New Roman" w:hAnsi="Times New Roman"/>
    </w:rPr>
  </w:style>
  <w:style w:type="character" w:customStyle="1" w:styleId="216">
    <w:name w:val="WW8Num10z0"/>
    <w:link w:val="1"/>
    <w:uiPriority w:val="0"/>
    <w:rPr>
      <w:rFonts w:ascii="Times New Roman" w:hAnsi="Times New Roman"/>
    </w:rPr>
  </w:style>
  <w:style w:type="character" w:customStyle="1" w:styleId="217">
    <w:name w:val="WW8Num13z0"/>
    <w:link w:val="1"/>
    <w:uiPriority w:val="0"/>
    <w:rPr>
      <w:rFonts w:ascii="Times New Roman" w:hAnsi="Times New Roman"/>
    </w:rPr>
  </w:style>
  <w:style w:type="character" w:customStyle="1" w:styleId="218">
    <w:name w:val="Основной шрифт абзаца1"/>
    <w:link w:val="1"/>
    <w:uiPriority w:val="0"/>
  </w:style>
  <w:style w:type="character" w:customStyle="1" w:styleId="219">
    <w:name w:val="Символ нумерації"/>
    <w:link w:val="1"/>
    <w:uiPriority w:val="0"/>
  </w:style>
  <w:style w:type="character" w:customStyle="1" w:styleId="220">
    <w:name w:val="Гиперссылка"/>
    <w:link w:val="1"/>
    <w:uiPriority w:val="0"/>
    <w:rPr>
      <w:color w:val="0000FF"/>
      <w:u w:val="single"/>
    </w:rPr>
  </w:style>
  <w:style w:type="character" w:customStyle="1" w:styleId="221">
    <w:name w:val="hps"/>
    <w:link w:val="1"/>
    <w:uiPriority w:val="0"/>
  </w:style>
  <w:style w:type="character" w:customStyle="1" w:styleId="222">
    <w:name w:val="Строгий"/>
    <w:link w:val="1"/>
    <w:uiPriority w:val="0"/>
    <w:rPr>
      <w:b/>
      <w:bCs/>
    </w:rPr>
  </w:style>
  <w:style w:type="character" w:customStyle="1" w:styleId="223">
    <w:name w:val="WW8Num9z1"/>
    <w:link w:val="1"/>
    <w:uiPriority w:val="0"/>
    <w:rPr>
      <w:b/>
    </w:rPr>
  </w:style>
  <w:style w:type="character" w:customStyle="1" w:styleId="224">
    <w:name w:val="Текст выноски Знак"/>
    <w:link w:val="1"/>
    <w:uiPriority w:val="0"/>
    <w:rPr>
      <w:rFonts w:ascii="Tahoma" w:hAnsi="Tahoma"/>
      <w:sz w:val="16"/>
      <w:szCs w:val="16"/>
      <w:lang w:val="ru-RU"/>
    </w:rPr>
  </w:style>
  <w:style w:type="paragraph" w:customStyle="1" w:styleId="225">
    <w:name w:val="Заголовок"/>
    <w:basedOn w:val="1"/>
    <w:next w:val="226"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226">
    <w:name w:val="Основной текст"/>
    <w:basedOn w:val="1"/>
    <w:uiPriority w:val="0"/>
    <w:pPr>
      <w:spacing w:before="0" w:after="120"/>
    </w:pPr>
  </w:style>
  <w:style w:type="paragraph" w:customStyle="1" w:styleId="227">
    <w:name w:val="Список"/>
    <w:basedOn w:val="226"/>
    <w:uiPriority w:val="0"/>
    <w:rPr>
      <w:rFonts w:ascii="Arial" w:hAnsi="Arial"/>
    </w:rPr>
  </w:style>
  <w:style w:type="paragraph" w:customStyle="1" w:styleId="228">
    <w:name w:val="Назва"/>
    <w:basedOn w:val="1"/>
    <w:uiPriority w:val="0"/>
    <w:pPr>
      <w:suppressLineNumbers/>
      <w:spacing w:before="120" w:after="120"/>
    </w:pPr>
    <w:rPr>
      <w:rFonts w:ascii="Arial" w:hAnsi="Arial"/>
      <w:i/>
      <w:iCs/>
      <w:sz w:val="20"/>
      <w:szCs w:val="24"/>
    </w:rPr>
  </w:style>
  <w:style w:type="paragraph" w:customStyle="1" w:styleId="229">
    <w:name w:val="Покажчик"/>
    <w:basedOn w:val="1"/>
    <w:uiPriority w:val="0"/>
    <w:pPr>
      <w:suppressLineNumbers/>
    </w:pPr>
    <w:rPr>
      <w:rFonts w:ascii="Arial" w:hAnsi="Arial"/>
    </w:rPr>
  </w:style>
  <w:style w:type="paragraph" w:customStyle="1" w:styleId="230">
    <w:name w:val="Название"/>
    <w:basedOn w:val="1"/>
    <w:next w:val="231"/>
    <w:uiPriority w:val="0"/>
    <w:pPr>
      <w:shd w:val="clear" w:color="auto" w:fill="FFFFFF"/>
      <w:spacing w:before="514" w:after="0"/>
      <w:jc w:val="center"/>
    </w:pPr>
    <w:rPr>
      <w:b/>
      <w:bCs/>
      <w:color w:val="000000"/>
      <w:spacing w:val="-5"/>
      <w:sz w:val="30"/>
      <w:szCs w:val="30"/>
      <w:lang w:val="uk-UA"/>
    </w:rPr>
  </w:style>
  <w:style w:type="paragraph" w:customStyle="1" w:styleId="231">
    <w:name w:val="Подзаголовок"/>
    <w:basedOn w:val="225"/>
    <w:next w:val="226"/>
    <w:uiPriority w:val="0"/>
    <w:pPr>
      <w:jc w:val="center"/>
    </w:pPr>
    <w:rPr>
      <w:i/>
      <w:iCs/>
      <w:sz w:val="28"/>
      <w:szCs w:val="28"/>
    </w:rPr>
  </w:style>
  <w:style w:type="paragraph" w:customStyle="1" w:styleId="232">
    <w:name w:val="Вміст таблиці"/>
    <w:basedOn w:val="1"/>
    <w:uiPriority w:val="0"/>
    <w:pPr>
      <w:suppressLineNumbers/>
    </w:pPr>
  </w:style>
  <w:style w:type="paragraph" w:customStyle="1" w:styleId="233">
    <w:name w:val="Заголовок таблиці"/>
    <w:basedOn w:val="232"/>
    <w:uiPriority w:val="0"/>
    <w:pPr>
      <w:suppressLineNumbers/>
      <w:jc w:val="center"/>
    </w:pPr>
    <w:rPr>
      <w:b/>
      <w:bCs/>
    </w:rPr>
  </w:style>
  <w:style w:type="paragraph" w:customStyle="1" w:styleId="234">
    <w:name w:val="Абзац списка"/>
    <w:basedOn w:val="1"/>
    <w:uiPriority w:val="0"/>
    <w:pPr>
      <w:ind w:left="720" w:right="0" w:firstLine="0"/>
    </w:pPr>
    <w:rPr>
      <w:sz w:val="24"/>
      <w:szCs w:val="24"/>
      <w:lang w:val="en-US"/>
    </w:rPr>
  </w:style>
  <w:style w:type="paragraph" w:customStyle="1" w:styleId="235">
    <w:name w:val="Текст выноски"/>
    <w:basedOn w:val="1"/>
    <w:uiPriority w:val="0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2022-09-05T06:16:00Z</dcterms:created>
  <dc:creator>denis</dc:creator>
  <cp:lastModifiedBy>denis</cp:lastModifiedBy>
  <dcterms:modified xsi:type="dcterms:W3CDTF">2022-09-04T17:59:38Z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