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hart2.xml" ContentType="application/vnd.openxmlformats-officedocument.drawingml.chart+xml"/>
  <Override PartName="/word/charts/colors2.xml" ContentType="application/vnd.ms-office.chartcolorstyle+xml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 w:val="0"/>
          <w:sz w:val="32"/>
          <w:szCs w:val="28"/>
        </w:rPr>
      </w:pPr>
      <w:r>
        <w:rPr>
          <w:rFonts w:ascii="Times New Roman" w:hAnsi="Times New Roman" w:cs="Times New Roman" w:eastAsia="Times New Roman"/>
          <w:b w:val="0"/>
          <w:sz w:val="32"/>
          <w:szCs w:val="28"/>
          <w:lang w:val="uk-UA"/>
        </w:rPr>
        <w:t xml:space="preserve">Практична робота</w:t>
      </w:r>
      <w:r>
        <w:rPr>
          <w:rFonts w:ascii="Times New Roman" w:hAnsi="Times New Roman" w:cs="Times New Roman" w:eastAsia="Times New Roman"/>
          <w:b w:val="0"/>
          <w:sz w:val="32"/>
          <w:szCs w:val="28"/>
          <w:lang w:val="uk-UA"/>
        </w:rPr>
        <w:t xml:space="preserve"> №1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32"/>
          <w:szCs w:val="28"/>
        </w:rPr>
      </w:pPr>
      <w:r>
        <w:rPr>
          <w:rFonts w:ascii="Times New Roman" w:hAnsi="Times New Roman" w:cs="Times New Roman" w:eastAsia="Times New Roman"/>
          <w:b w:val="0"/>
          <w:sz w:val="32"/>
          <w:szCs w:val="28"/>
          <w:lang w:val="uk-UA"/>
        </w:rPr>
      </w:r>
      <w:r>
        <w:rPr>
          <w:rFonts w:ascii="Times New Roman" w:hAnsi="Times New Roman" w:cs="Times New Roman" w:eastAsia="Times New Roman"/>
          <w:b w:val="0"/>
          <w:sz w:val="32"/>
          <w:szCs w:val="28"/>
          <w:lang w:val="uk-UA"/>
        </w:rPr>
        <w:t xml:space="preserve">Кількісне оцінювання ризику небезпек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Черноусов Денис Ті-92 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15 варіант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  <w:t xml:space="preserve">1 Завдання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4"/>
        </w:numPr>
        <w:contextualSpacing/>
        <w:ind w:left="0" w:right="0" w:firstLine="0"/>
        <w:jc w:val="left"/>
        <w:spacing w:before="0" w:after="0" w:line="276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Вік - 19 років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4"/>
        </w:numPr>
        <w:ind w:left="0" w:right="0" w:firstLine="0"/>
        <w:spacing w:before="0" w:after="0" w:line="276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Стать - чоловіча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4"/>
        </w:numPr>
        <w:ind w:left="0" w:right="0" w:firstLine="0"/>
        <w:spacing w:before="0" w:after="0" w:line="276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Місцевість - місто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4"/>
        </w:numPr>
        <w:ind w:left="0" w:right="0" w:firstLine="0"/>
        <w:spacing w:before="0" w:after="0" w:line="276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Зайнятість - студент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4"/>
        </w:numPr>
        <w:ind w:left="0" w:right="0" w:firstLine="0"/>
        <w:spacing w:before="0" w:after="0" w:line="276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Додаткові фактори ризику - немає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ind w:left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  <w:t xml:space="preserve">Розрахунки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прх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0,00030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*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1,45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0,000435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T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р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2024 * 5 * </w:t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-8</m:t>
            </m:r>
          </m:sup>
        </m:sSup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1012 * </w:t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-7</m:t>
            </m:r>
          </m:sup>
        </m:sSup>
      </m:oMath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прнв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0,00072 * 1,6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0,001152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прх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`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 – немає шкідливих звичок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R=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+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+ </w:t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+ </w:t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0,000435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1012 * </w:t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-7</m:t>
            </m:r>
          </m:sup>
        </m:sSup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0,001152 + 0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=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0,0016882</w:t>
      </w:r>
      <w:r>
        <w:rPr>
          <w:rFonts w:ascii="Times New Roman" w:hAnsi="Times New Roman" w:cs="Times New Roman" w:eastAsia="Times New Roman"/>
        </w:rPr>
        <w:drawing>
          <wp:anchor xmlns:wp="http://schemas.openxmlformats.org/drawingml/2006/wordprocessingDrawing" distT="0" distB="0" distL="115200" distR="115200" simplePos="0" relativeHeight="4096" behindDoc="0" locked="0" layoutInCell="1" allowOverlap="1">
            <wp:simplePos x="0" y="0"/>
            <wp:positionH relativeFrom="column">
              <wp:posOffset>528637</wp:posOffset>
            </wp:positionH>
            <wp:positionV relativeFrom="paragraph">
              <wp:posOffset>268496</wp:posOffset>
            </wp:positionV>
            <wp:extent cx="5005408" cy="2917074"/>
            <wp:effectExtent l="4762" t="4762" r="4762" b="4762"/>
            <wp:wrapTopAndBottom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left"/>
        <w:rPr>
          <w:rFonts w:ascii="Times New Roman" w:hAnsi="Times New Roman" w:cs="Times New Roman" w:eastAsia="Times New Roman"/>
          <w:b/>
          <w:i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i/>
          <w:sz w:val="28"/>
          <w:szCs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  <w:t xml:space="preserve">2 Завдання</w:t>
      </w: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Вік – 38 років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Стать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чоловіча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Місце проживання - 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місто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Вид професійної діяльності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будівельник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Додаткові фактори ризику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мисливство 200 годин на рік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  <w:t xml:space="preserve">Розрахунки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1.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прх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1,45 * 0,00160 = 0,00232</w:t>
      </w:r>
      <w:r>
        <w:rPr>
          <w:rFonts w:ascii="Times New Roman" w:hAnsi="Times New Roman" w:cs="Times New Roman" w:eastAsia="Times New Roman"/>
        </w:rPr>
      </w:r>
    </w:p>
    <w:p>
      <w:pPr>
        <w:ind w:left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2.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T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р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2024 * 6 * </w:t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-7</m:t>
            </m:r>
          </m:sup>
        </m:sSup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12 144 * </w:t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-7</m:t>
            </m:r>
          </m:sup>
        </m:sSup>
      </m:oMath>
      <w:r>
        <w:rPr>
          <w:rFonts w:ascii="Times New Roman" w:hAnsi="Times New Roman" w:cs="Times New Roman" w:eastAsia="Times New Roman"/>
        </w:rPr>
        <w:t xml:space="preserve"> = </w:t>
      </w:r>
      <w:r>
        <w:rPr>
          <w:rFonts w:ascii="Times New Roman" w:hAnsi="Times New Roman" w:cs="Times New Roman" w:eastAsia="Times New Roman"/>
          <w:sz w:val="28"/>
        </w:rPr>
        <w:t xml:space="preserve">0,0012144</w:t>
      </w:r>
      <w:r>
        <w:rPr>
          <w:rFonts w:ascii="Times New Roman" w:hAnsi="Times New Roman" w:cs="Times New Roman" w:eastAsia="Times New Roman"/>
        </w:rPr>
      </w:r>
    </w:p>
    <w:p>
      <w:pPr>
        <w:ind w:left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3.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прнв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= 1,6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* 0,00084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0,001344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4.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прх   </m:t>
            </m:r>
          </m:sub>
        </m:sSub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*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`</m:t>
            </m:r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`</m:t>
            </m:r>
          </m:sup>
        </m:sSubSup>
        <m:r>
          <w:rPr>
            <w:rFonts w:ascii="Cambria Math" w:hAnsi="Cambria Math" w:cs="Cambria Math" w:eastAsia="Cambria Math" w:hint="default"/>
            <w:sz w:val="28"/>
            <w:lang w:val="uk-UA"/>
          </w:rPr>
          <m:rPr/>
          <m:t>*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T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р 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= 1,45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*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200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*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7 * </w:t>
      </w:r>
      <w:r>
        <w:rPr>
          <w:rFonts w:ascii="Times New Roman" w:hAnsi="Times New Roman" w:cs="Times New Roman" w:eastAsia="Times New Roman"/>
        </w:rPr>
      </w:r>
      <m:oMath>
        <m:sSup>
          <m:sSupPr>
            <m:ctrlPr>
              <w:rPr>
                <w:rFonts w:ascii="Cambria Math" w:hAnsi="Cambria Math" w:cs="Cambria Math" w:eastAsia="Cambria Math" w:eastAsiaTheme="minorEastAsia" w:hint="defaul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-7</m:t>
            </m:r>
          </m:sup>
        </m:sSup>
      </m:oMath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= 0,000203 </w:t>
      </w:r>
      <w:r>
        <w:rPr>
          <w:rFonts w:ascii="Times New Roman" w:hAnsi="Times New Roman" w:cs="Times New Roman" w:eastAsia="Times New Roman"/>
        </w:rPr>
      </w:r>
    </w:p>
    <w:p>
      <w:pPr>
        <w:ind w:left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5. R=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1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  <m:r>
          <w:rPr>
            <w:rFonts w:ascii="Cambria Math" w:hAnsi="Cambria Math" w:cs="Cambria Math" w:eastAsia="Cambria Math" w:hint="default"/>
            <w:sz w:val="28"/>
            <w:szCs w:val="28"/>
            <w:lang w:val="uk-UA"/>
          </w:rPr>
          <m:rPr/>
          <m:t>+ 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2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+ </w:t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3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+ </w:t>
      </w:r>
      <m:oMath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4 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uk-UA"/>
              </w:rPr>
              <m:rPr/>
              <m:t>**</m:t>
            </m:r>
          </m:sup>
        </m:sSub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0,00232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+ 0,</w:t>
      </w:r>
      <w:r>
        <w:rPr>
          <w:rFonts w:ascii="Times New Roman" w:hAnsi="Times New Roman" w:cs="Times New Roman" w:eastAsia="Times New Roman"/>
          <w:sz w:val="28"/>
        </w:rPr>
        <w:t xml:space="preserve">0012144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0,001344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0,000203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0,0050814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drawing>
          <wp:anchor xmlns:wp="http://schemas.openxmlformats.org/drawingml/2006/wordprocessingDrawing" distT="0" distB="0" distL="115200" distR="115200" simplePos="0" relativeHeight="4096" behindDoc="0" locked="0" layoutInCell="1" allowOverlap="1">
            <wp:simplePos x="0" y="0"/>
            <wp:positionH relativeFrom="column">
              <wp:posOffset>528637</wp:posOffset>
            </wp:positionH>
            <wp:positionV relativeFrom="paragraph">
              <wp:posOffset>268496</wp:posOffset>
            </wp:positionV>
            <wp:extent cx="5005408" cy="2917073"/>
            <wp:effectExtent l="4762" t="4762" r="4762" b="4762"/>
            <wp:wrapTopAndBottom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72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23"/>
        <w:ind w:left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823"/>
        <w:contextualSpacing/>
        <w:ind w:left="0" w:firstLine="550"/>
        <w:jc w:val="left"/>
        <w:rPr>
          <w:rFonts w:ascii="Times New Roman" w:hAnsi="Times New Roman" w:cs="Times New Roman" w:eastAsia="Times New Roman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практичного завдання, було обраховано ризики смертельної небезпеки для себе та людини згідно варіанту. Згідно обчисленням, для мене найбільшим є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ризик наразитися на смертельну небезпеку протягом року внаслідок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можливого нещасного випадку в побуті – близько 70%. Другою найбільшою небезпекою є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ризик смертельної небезпеки внаслідок соматичних та генетичних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захворювань, а також через природне старіння організму. </w:t>
      </w:r>
      <w:r>
        <w:rPr>
          <w:rFonts w:ascii="Times New Roman" w:hAnsi="Times New Roman" w:cs="Times New Roman" w:eastAsia="Times New Roman"/>
        </w:rPr>
      </w:r>
    </w:p>
    <w:p>
      <w:pPr>
        <w:pStyle w:val="823"/>
        <w:contextualSpacing/>
        <w:ind w:left="0" w:firstLine="550"/>
        <w:jc w:val="left"/>
        <w:rPr>
          <w:rFonts w:ascii="Times New Roman" w:hAnsi="Times New Roman" w:cs="Times New Roman" w:eastAsia="Times New Roman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Проаналізуємо результати другого завдання. В даному прикладі найбільшою загрозою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ризик смертельної небезпеки внаслідок соматичних та генетичних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захворювань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 старіння – трішки менше 50%. Також вагомими є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ризики загибелі протягом року внаслідок можливого нещасного випадку на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виробництві та у побуті, що є приблизно однаковими й складають 50%.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sectPr>
      <w:footnotePr/>
      <w:endnotePr/>
      <w:type w:val="nextPage"/>
      <w:pgSz w:w="12240" w:h="15840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55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Relationship Id="rId10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Sheet1!$A$2:$A$4</c:f>
              <c:strCache>
                <c:ptCount val="3"/>
                <c:pt idx="0">
                  <c:v>R1*</c:v>
                </c:pt>
                <c:pt idx="1">
                  <c:v>R2*</c:v>
                </c:pt>
                <c:pt idx="2">
                  <c:v>R3*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0.000435</c:v>
                </c:pt>
                <c:pt idx="1">
                  <c:v>0.0001012</c:v>
                </c:pt>
                <c:pt idx="2">
                  <c:v>0.001152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firstSliceAng val="0"/>
      </c:pieChart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005407" cy="291707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1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Sheet1!$A$2:$A$5</c:f>
              <c:strCache>
                <c:ptCount val="4"/>
                <c:pt idx="0">
                  <c:v>R1*</c:v>
                </c:pt>
                <c:pt idx="1">
                  <c:v>R2*</c:v>
                </c:pt>
                <c:pt idx="2">
                  <c:v>R3*</c:v>
                </c:pt>
                <c:pt idx="3">
                  <c:v>R4**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0.00232</c:v>
                </c:pt>
                <c:pt idx="1">
                  <c:v>0.0012144</c:v>
                </c:pt>
                <c:pt idx="2">
                  <c:v>0.001344</c:v>
                </c:pt>
                <c:pt idx="3">
                  <c:v>0.000203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firstSliceAng val="0"/>
      </c:pieChart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005407" cy="291707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Fasova</dc:creator>
  <cp:keywords/>
  <dc:description/>
  <cp:revision>5</cp:revision>
  <dcterms:created xsi:type="dcterms:W3CDTF">2022-02-06T15:43:00Z</dcterms:created>
  <dcterms:modified xsi:type="dcterms:W3CDTF">2022-02-14T20:56:35Z</dcterms:modified>
</cp:coreProperties>
</file>