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 по лабораторной работе</w:t>
      </w:r>
    </w:p>
    <w:p>
      <w:pPr>
        <w:pStyle w:val="Subtitle"/>
        <w:rPr/>
      </w:pPr>
      <w:r>
        <w:rPr/>
        <w:t>Лабораторная работа №2</w:t>
      </w:r>
    </w:p>
    <w:p>
      <w:pPr>
        <w:pStyle w:val="Author"/>
        <w:rPr/>
      </w:pPr>
      <w:r>
        <w:rPr/>
        <w:t>Швецов Михаил Романович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Style6"/>
            </w:rPr>
            <w:instrText xml:space="preserve"> TOC \z \o "1-2" \u \h</w:instrText>
          </w:r>
          <w:r>
            <w:rPr>
              <w:webHidden/>
              <w:rStyle w:val="Style6"/>
            </w:rPr>
            <w:fldChar w:fldCharType="separate"/>
          </w:r>
          <w:hyperlink w:anchor="__RefHeading___Toc2861_2429160530">
            <w:r>
              <w:rPr>
                <w:webHidden/>
                <w:rStyle w:val="Style6"/>
              </w:rPr>
              <w:t>1. Цель работы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863_2429160530">
            <w:r>
              <w:rPr>
                <w:webHidden/>
                <w:rStyle w:val="Style6"/>
              </w:rPr>
              <w:t>2. Задание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865_2429160530">
            <w:r>
              <w:rPr>
                <w:webHidden/>
                <w:rStyle w:val="Style6"/>
              </w:rPr>
              <w:t>3. Теоретическое введение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867_2429160530">
            <w:r>
              <w:rPr>
                <w:webHidden/>
                <w:rStyle w:val="Style6"/>
              </w:rPr>
              <w:t>4. Выполнение лабораторной работы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869_2429160530">
            <w:r>
              <w:rPr>
                <w:webHidden/>
                <w:rStyle w:val="Style6"/>
              </w:rPr>
              <w:t>Список литературы</w:t>
              <w:tab/>
              <w:t>10</w:t>
            </w:r>
          </w:hyperlink>
          <w:r>
            <w:rPr>
              <w:rStyle w:val="Style6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861_2429160530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r>
        <w:rPr/>
        <w:t>Здесь приводится формулировка цели лабораторной работы. Формулировки цели для каждой лабораторной работы приведены в методических указаниях.</w:t>
      </w:r>
    </w:p>
    <w:p>
      <w:pPr>
        <w:pStyle w:val="BodyText"/>
        <w:rPr/>
      </w:pPr>
      <w:bookmarkStart w:id="2" w:name="цель-работы"/>
      <w:r>
        <w:rPr/>
        <w:t>Цель данного шаблона — максимально упростить подготовку отчётов по лабораторным работам. 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  <w:bookmarkEnd w:id="2"/>
    </w:p>
    <w:p>
      <w:pPr>
        <w:pStyle w:val="Heading1"/>
        <w:rPr/>
      </w:pPr>
      <w:bookmarkStart w:id="3" w:name="__RefHeading___Toc2863_2429160530"/>
      <w:bookmarkStart w:id="4" w:name="задание"/>
      <w:bookmarkEnd w:id="3"/>
      <w:r>
        <w:rPr/>
        <w:t>2. Задание</w:t>
      </w:r>
    </w:p>
    <w:p>
      <w:pPr>
        <w:pStyle w:val="FirstParagraph"/>
        <w:rPr/>
      </w:pPr>
      <w:bookmarkStart w:id="5" w:name="задание"/>
      <w:r>
        <w:rPr/>
        <w:t>Здесь приводится описание задания в соответствии с рекомендациями методического пособия и выданным вариантом.</w:t>
      </w:r>
      <w:bookmarkEnd w:id="5"/>
    </w:p>
    <w:p>
      <w:pPr>
        <w:pStyle w:val="Heading1"/>
        <w:rPr/>
      </w:pPr>
      <w:bookmarkStart w:id="6" w:name="__RefHeading___Toc2865_2429160530"/>
      <w:bookmarkStart w:id="7" w:name="теоретическое-введение"/>
      <w:bookmarkEnd w:id="6"/>
      <w:r>
        <w:rPr/>
        <w:t>3. Теоретическое введение</w:t>
      </w:r>
    </w:p>
    <w:p>
      <w:pPr>
        <w:pStyle w:val="FirstParagraph"/>
        <w:rPr/>
      </w:pPr>
      <w:r>
        <w:rPr/>
        <w:t>Здесь описываются теоретические аспекты, связанные с выполнением работы.</w:t>
      </w:r>
    </w:p>
    <w:p>
      <w:pPr>
        <w:pStyle w:val="BodyText"/>
        <w:rPr/>
      </w:pPr>
      <w:r>
        <w:rPr/>
        <w:t xml:space="preserve">Например, в </w:t>
      </w:r>
      <w:hyperlink w:anchor="tbl-std-dir">
        <w:r>
          <w:rPr>
            <w:rStyle w:val="Hyperlink"/>
          </w:rPr>
          <w:t>табл. 1</w:t>
        </w:r>
      </w:hyperlink>
      <w:r>
        <w:rPr/>
        <w:t xml:space="preserve"> приведено краткое описание стандартных каталогов Unix.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Таблица 1: Описание некоторых каталогов файловой системы GNU Linux</w:t>
            </w:r>
          </w:p>
          <w:tbl>
            <w:tblPr>
              <w:tblStyle w:val="Table"/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20" w:noHBand="0" w:noVBand="0" w:firstColumn="0" w:lastRow="0" w:lastColumn="0" w:firstRow="1"/>
            </w:tblPr>
            <w:tblGrid>
              <w:gridCol w:w="927"/>
              <w:gridCol w:w="8216"/>
            </w:tblGrid>
            <w:tr>
              <w:trPr>
                <w:tblHeader w:val="true"/>
              </w:trPr>
              <w:tc>
                <w:tcPr>
                  <w:tcW w:w="927" w:type="dxa"/>
                  <w:tcBorders>
                    <w:bottom w:val="single" w:sz="6" w:space="0" w:color="000000"/>
                  </w:tcBorders>
                  <w:vAlign w:val="bottom"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Имя каталога</w:t>
                  </w:r>
                </w:p>
              </w:tc>
              <w:tc>
                <w:tcPr>
                  <w:tcW w:w="8216" w:type="dxa"/>
                  <w:tcBorders>
                    <w:bottom w:val="single" w:sz="6" w:space="0" w:color="000000"/>
                  </w:tcBorders>
                  <w:vAlign w:val="bottom"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Описание каталога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</w:t>
                  </w:r>
                </w:p>
              </w:tc>
              <w:tc>
                <w:tcPr>
                  <w:tcW w:w="8216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Корневая директория, содержащая всю файловую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/bin</w:t>
                  </w:r>
                </w:p>
              </w:tc>
              <w:tc>
                <w:tcPr>
                  <w:tcW w:w="8216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/etc</w:t>
                  </w:r>
                </w:p>
              </w:tc>
              <w:tc>
                <w:tcPr>
                  <w:tcW w:w="8216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/home</w:t>
                  </w:r>
                </w:p>
              </w:tc>
              <w:tc>
                <w:tcPr>
                  <w:tcW w:w="8216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/media</w:t>
                  </w:r>
                </w:p>
              </w:tc>
              <w:tc>
                <w:tcPr>
                  <w:tcW w:w="8216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Точки монтирования для сменных носителей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/root</w:t>
                  </w:r>
                </w:p>
              </w:tc>
              <w:tc>
                <w:tcPr>
                  <w:tcW w:w="8216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 xml:space="preserve">Домашняя директория пользователя </w:t>
                  </w: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root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/tmp</w:t>
                  </w:r>
                </w:p>
              </w:tc>
              <w:tc>
                <w:tcPr>
                  <w:tcW w:w="8216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Временные файлы</w:t>
                  </w:r>
                </w:p>
              </w:tc>
            </w:tr>
            <w:tr>
              <w:trPr/>
              <w:tc>
                <w:tcPr>
                  <w:tcW w:w="927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Style w:val="VerbatimChar"/>
                      <w:rFonts w:eastAsia="" w:cs=""/>
                      <w:kern w:val="0"/>
                      <w:szCs w:val="24"/>
                      <w:lang w:val="ru-RU" w:eastAsia="zh-CN" w:bidi="ar-SA"/>
                    </w:rPr>
                    <w:t>/usr</w:t>
                  </w:r>
                </w:p>
              </w:tc>
              <w:tc>
                <w:tcPr>
                  <w:tcW w:w="8216" w:type="dxa"/>
                  <w:tcBorders/>
                </w:tcPr>
                <w:p>
                  <w:pPr>
                    <w:pStyle w:val="Compact"/>
                    <w:widowControl/>
                    <w:spacing w:before="36" w:after="36"/>
                    <w:jc w:val="center"/>
                    <w:rPr>
                      <w:rFonts w:ascii="Aptos" w:hAnsi="Aptos" w:eastAsia="" w:cs=""/>
                      <w:kern w:val="0"/>
                      <w:sz w:val="24"/>
                      <w:szCs w:val="24"/>
                      <w:lang w:val="ru-RU" w:eastAsia="zh-CN" w:bidi="ar-SA"/>
                    </w:rPr>
                  </w:pPr>
                  <w:r>
                    <w:rPr>
                      <w:rFonts w:eastAsia="" w:cs=""/>
                      <w:kern w:val="0"/>
                      <w:sz w:val="24"/>
                      <w:szCs w:val="24"/>
                      <w:lang w:val="ru-RU" w:eastAsia="zh-CN" w:bidi="ar-SA"/>
                    </w:rPr>
                    <w:t>Вторичная иерархия для данных пользователя</w:t>
                  </w:r>
                  <w:bookmarkStart w:id="8" w:name="tbl-std-dir"/>
                  <w:bookmarkEnd w:id="8"/>
                </w:p>
              </w:tc>
            </w:tr>
          </w:tbl>
          <w:p>
            <w:pPr>
              <w:pStyle w:val="Normal"/>
              <w:widowControl/>
              <w:spacing w:before="0" w:after="20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</w:r>
          </w:p>
        </w:tc>
      </w:tr>
    </w:tbl>
    <w:p>
      <w:pPr>
        <w:pStyle w:val="BodyText"/>
        <w:rPr/>
      </w:pPr>
      <w:bookmarkStart w:id="9" w:name="теоретическое-введение"/>
      <w:r>
        <w:rPr/>
        <w:t>Более подробно про Unix см. в [1–4].</w:t>
      </w:r>
      <w:bookmarkEnd w:id="9"/>
    </w:p>
    <w:p>
      <w:pPr>
        <w:pStyle w:val="Heading1"/>
        <w:rPr/>
      </w:pPr>
      <w:bookmarkStart w:id="10" w:name="__RefHeading___Toc2867_2429160530"/>
      <w:bookmarkStart w:id="11" w:name="выполнение-лабораторной-работы"/>
      <w:bookmarkEnd w:id="10"/>
      <w:r>
        <w:rPr/>
        <w:t>4. Выполнение лабораторной работы</w:t>
      </w:r>
    </w:p>
    <w:p>
      <w:pPr>
        <w:pStyle w:val="FirstParagraph"/>
        <w:rPr/>
      </w:pPr>
      <w:r>
        <w:rPr/>
        <w:t>Создаём рабочий каталог и активируем проект (</w:t>
      </w:r>
      <w:hyperlink w:anchor="fig-001">
        <w:r>
          <w:rPr>
            <w:rStyle w:val="Hyperlink"/>
          </w:rPr>
          <w:t>рис. 1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2" w:name="fig-001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4200525"/>
                  <wp:effectExtent l="0" t="0" r="0" b="0"/>
                  <wp:docPr id="1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3" w:name="fig-001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1: Каталог и активация проекта:</w:t>
            </w:r>
            <w:bookmarkEnd w:id="13"/>
          </w:p>
        </w:tc>
      </w:tr>
    </w:tbl>
    <w:p>
      <w:pPr>
        <w:pStyle w:val="BodyText"/>
        <w:rPr/>
      </w:pPr>
      <w:r>
        <w:rPr/>
        <w:t>Далее устанавливаем необходимые пакеты (</w:t>
      </w:r>
      <w:hyperlink w:anchor="fig-002">
        <w:r>
          <w:rPr>
            <w:rStyle w:val="Hyperlink"/>
          </w:rPr>
          <w:t>рис. 2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4" w:name="fig-002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4200525"/>
                  <wp:effectExtent l="0" t="0" r="0" b="0"/>
                  <wp:docPr id="2" name="Изображение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5" w:name="fig-002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2: Установка пакетов:</w:t>
            </w:r>
            <w:bookmarkEnd w:id="15"/>
          </w:p>
        </w:tc>
      </w:tr>
    </w:tbl>
    <w:p>
      <w:pPr>
        <w:pStyle w:val="BodyText"/>
        <w:rPr/>
      </w:pPr>
      <w:r>
        <w:rPr/>
        <w:t>Далее проверяем правильность установки (</w:t>
      </w:r>
      <w:hyperlink w:anchor="fig-003">
        <w:r>
          <w:rPr>
            <w:rStyle w:val="Hyperlink"/>
          </w:rPr>
          <w:t>рис. 3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6" w:name="fig-003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4200525"/>
                  <wp:effectExtent l="0" t="0" r="0" b="0"/>
                  <wp:docPr id="3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0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7" w:name="fig-003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3: Проверка - успешно:</w:t>
            </w:r>
            <w:bookmarkEnd w:id="17"/>
          </w:p>
        </w:tc>
      </w:tr>
    </w:tbl>
    <w:p>
      <w:pPr>
        <w:pStyle w:val="BodyText"/>
        <w:rPr/>
      </w:pPr>
      <w:r>
        <w:rPr/>
        <w:t>Далее мы смотрим какие пакеты нужно доустановить для наших скриптов и устанавливаем их (</w:t>
      </w:r>
      <w:hyperlink w:anchor="fig-004">
        <w:r>
          <w:rPr>
            <w:rStyle w:val="Hyperlink"/>
          </w:rPr>
          <w:t>рис. 4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8" w:name="fig-004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1017270"/>
                  <wp:effectExtent l="0" t="0" r="0" b="0"/>
                  <wp:docPr id="4" name="Изображение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19" w:name="fig-004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4: Установка:</w:t>
            </w:r>
            <w:bookmarkEnd w:id="19"/>
          </w:p>
        </w:tc>
      </w:tr>
    </w:tbl>
    <w:p>
      <w:pPr>
        <w:pStyle w:val="BodyText"/>
        <w:rPr/>
      </w:pPr>
      <w:r>
        <w:rPr/>
        <w:t>Установка дополнительного пакета для второго скрипта (</w:t>
      </w:r>
      <w:hyperlink w:anchor="fig-005">
        <w:r>
          <w:rPr>
            <w:rStyle w:val="Hyperlink"/>
          </w:rPr>
          <w:t>рис. 5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0" w:name="fig-005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1017270"/>
                  <wp:effectExtent l="0" t="0" r="0" b="0"/>
                  <wp:docPr id="5" name="Изображение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1" w:name="fig-005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5: Установка:</w:t>
            </w:r>
            <w:bookmarkEnd w:id="21"/>
          </w:p>
        </w:tc>
      </w:tr>
    </w:tbl>
    <w:p>
      <w:pPr>
        <w:pStyle w:val="BodyText"/>
        <w:rPr/>
      </w:pPr>
      <w:r>
        <w:rPr/>
        <w:t>Создадим и запустим первый скрипт (</w:t>
      </w:r>
      <w:hyperlink w:anchor="fig-006">
        <w:r>
          <w:rPr>
            <w:rStyle w:val="Hyperlink"/>
          </w:rPr>
          <w:t>рис. 6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2" w:name="fig-006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154555"/>
                  <wp:effectExtent l="0" t="0" r="0" b="0"/>
                  <wp:docPr id="6" name="Изображение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3" w:name="fig-006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6: Запуск первого скрипта:</w:t>
            </w:r>
            <w:bookmarkEnd w:id="23"/>
          </w:p>
        </w:tc>
      </w:tr>
    </w:tbl>
    <w:p>
      <w:pPr>
        <w:pStyle w:val="BodyText"/>
        <w:rPr/>
      </w:pPr>
      <w:r>
        <w:rPr/>
        <w:t>Создаём и запускаем второй скрипт (</w:t>
      </w:r>
      <w:hyperlink w:anchor="fig-007">
        <w:r>
          <w:rPr>
            <w:rStyle w:val="Hyperlink"/>
          </w:rPr>
          <w:t>рис. 7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4" w:name="fig-007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154555"/>
                  <wp:effectExtent l="0" t="0" r="0" b="0"/>
                  <wp:docPr id="7" name="Изображение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5" w:name="fig-007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7: Запуск второго скрипта:</w:t>
            </w:r>
            <w:bookmarkEnd w:id="25"/>
          </w:p>
        </w:tc>
      </w:tr>
    </w:tbl>
    <w:p>
      <w:pPr>
        <w:pStyle w:val="BodyText"/>
        <w:rPr/>
      </w:pPr>
      <w:r>
        <w:rPr/>
        <w:t>Загружаем пакет Literate (</w:t>
      </w:r>
      <w:hyperlink w:anchor="fig-008">
        <w:r>
          <w:rPr>
            <w:rStyle w:val="Hyperlink"/>
          </w:rPr>
          <w:t>рис. 8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6" w:name="fig-008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154555"/>
                  <wp:effectExtent l="0" t="0" r="0" b="0"/>
                  <wp:docPr id="8" name="Изображение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7" w:name="fig-008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8: Загрузка:</w:t>
            </w:r>
            <w:bookmarkEnd w:id="27"/>
          </w:p>
        </w:tc>
      </w:tr>
    </w:tbl>
    <w:p>
      <w:pPr>
        <w:pStyle w:val="BodyText"/>
        <w:rPr/>
      </w:pPr>
      <w:r>
        <w:rPr/>
        <w:t>Создадим литературный стиль маркдаун для первого скрипта (</w:t>
      </w:r>
      <w:hyperlink w:anchor="fig-009">
        <w:r>
          <w:rPr>
            <w:rStyle w:val="Hyperlink"/>
          </w:rPr>
          <w:t>рис. 9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8" w:name="fig-009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655320"/>
                  <wp:effectExtent l="0" t="0" r="0" b="0"/>
                  <wp:docPr id="9" name="Изображение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29" w:name="fig-009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9: Маркдаун для первого скрипта:</w:t>
            </w:r>
            <w:bookmarkEnd w:id="29"/>
          </w:p>
        </w:tc>
      </w:tr>
    </w:tbl>
    <w:p>
      <w:pPr>
        <w:pStyle w:val="BodyText"/>
        <w:rPr/>
      </w:pPr>
      <w:r>
        <w:rPr/>
        <w:t>Создадим литературный стиль notebooks для первого скрипта (</w:t>
      </w:r>
      <w:hyperlink w:anchor="fig-0010">
        <w:r>
          <w:rPr>
            <w:rStyle w:val="Hyperlink"/>
          </w:rPr>
          <w:t>рис. 10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0" w:name="fig-0010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1024890"/>
                  <wp:effectExtent l="0" t="0" r="0" b="0"/>
                  <wp:docPr id="10" name="Изображение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1" w:name="fig-0010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10: Notebooks для первого скрипта:</w:t>
            </w:r>
            <w:bookmarkEnd w:id="31"/>
          </w:p>
        </w:tc>
      </w:tr>
    </w:tbl>
    <w:p>
      <w:pPr>
        <w:pStyle w:val="BodyText"/>
        <w:rPr/>
      </w:pPr>
      <w:r>
        <w:rPr/>
        <w:t>Создадим литературный стиль маркдаун для второго скрипта (</w:t>
      </w:r>
      <w:hyperlink w:anchor="fig-0011">
        <w:r>
          <w:rPr>
            <w:rStyle w:val="Hyperlink"/>
          </w:rPr>
          <w:t>рис. 11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2" w:name="fig-0011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1024890"/>
                  <wp:effectExtent l="0" t="0" r="0" b="0"/>
                  <wp:docPr id="11" name="Изображение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3" w:name="fig-0011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11: Маркдаун для второго скрипта:</w:t>
            </w:r>
            <w:bookmarkEnd w:id="33"/>
          </w:p>
        </w:tc>
      </w:tr>
    </w:tbl>
    <w:p>
      <w:pPr>
        <w:pStyle w:val="BodyText"/>
        <w:rPr/>
      </w:pPr>
      <w:r>
        <w:rPr/>
        <w:t>Создадим литературный стиль notebooks для второго скрипта (</w:t>
      </w:r>
      <w:hyperlink w:anchor="fig-0012">
        <w:r>
          <w:rPr>
            <w:rStyle w:val="Hyperlink"/>
          </w:rPr>
          <w:t>рис. 12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4" w:name="fig-0012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3468370"/>
                  <wp:effectExtent l="0" t="0" r="0" b="0"/>
                  <wp:docPr id="12" name="Изображение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6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5" w:name="fig-0012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12: Notebooks для второго скрипта:</w:t>
            </w:r>
            <w:bookmarkEnd w:id="35"/>
          </w:p>
        </w:tc>
      </w:tr>
    </w:tbl>
    <w:p>
      <w:pPr>
        <w:pStyle w:val="BodyText"/>
        <w:rPr/>
      </w:pPr>
      <w:r>
        <w:rPr/>
        <w:t>Удостоверимся, что notebooks был создан (</w:t>
      </w:r>
      <w:hyperlink w:anchor="fig-0013">
        <w:r>
          <w:rPr>
            <w:rStyle w:val="Hyperlink"/>
          </w:rPr>
          <w:t>рис. 13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6" w:name="fig-0013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099945"/>
                  <wp:effectExtent l="0" t="0" r="0" b="0"/>
                  <wp:docPr id="13" name="Изображение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7" w:name="fig-0013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13: Проверка:</w:t>
            </w:r>
            <w:bookmarkEnd w:id="37"/>
          </w:p>
        </w:tc>
      </w:tr>
    </w:tbl>
    <w:p>
      <w:pPr>
        <w:pStyle w:val="BodyText"/>
        <w:rPr/>
      </w:pPr>
      <w:r>
        <w:rPr/>
        <w:t>Далее мы добавили в код в литературном стиле вычисление для набора параметров и снова создаём литературный стиль маркдаун(</w:t>
      </w:r>
      <w:hyperlink w:anchor="fig-0014">
        <w:r>
          <w:rPr>
            <w:rStyle w:val="Hyperlink"/>
          </w:rPr>
          <w:t>рис. 14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8" w:name="fig-0014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622935"/>
                  <wp:effectExtent l="0" t="0" r="0" b="0"/>
                  <wp:docPr id="14" name="Изображение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39" w:name="fig-0014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14: Создание маркдаун для скрипта с набором параметров:</w:t>
            </w:r>
            <w:bookmarkEnd w:id="39"/>
          </w:p>
        </w:tc>
      </w:tr>
    </w:tbl>
    <w:p>
      <w:pPr>
        <w:pStyle w:val="BodyText"/>
        <w:rPr/>
      </w:pPr>
      <w:r>
        <w:rPr/>
        <w:t>Создадим notebooks для скрипта с набором параметров (</w:t>
      </w:r>
      <w:hyperlink w:anchor="fig-0015">
        <w:r>
          <w:rPr>
            <w:rStyle w:val="Hyperlink"/>
          </w:rPr>
          <w:t>рис. 15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0" w:name="fig-0015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1270000"/>
                  <wp:effectExtent l="0" t="0" r="0" b="0"/>
                  <wp:docPr id="15" name="Изображение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1" w:name="fig-0015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15: Notebooks для скрипта с набором параметров:</w:t>
            </w:r>
            <w:bookmarkEnd w:id="41"/>
          </w:p>
        </w:tc>
      </w:tr>
    </w:tbl>
    <w:p>
      <w:pPr>
        <w:pStyle w:val="BodyText"/>
        <w:rPr/>
      </w:pPr>
      <w:r>
        <w:rPr/>
        <w:t>Создаём документацию в _quarto для обоих скриптов (</w:t>
      </w:r>
      <w:hyperlink w:anchor="fig-0016">
        <w:r>
          <w:rPr>
            <w:rStyle w:val="Hyperlink"/>
          </w:rPr>
          <w:t>рис. 16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2" w:name="fig-0016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3576955"/>
                  <wp:effectExtent l="0" t="0" r="0" b="0"/>
                  <wp:docPr id="16" name="Изображение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3" w:name="fig-0016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16: документация _quarto для обоих парпметров:</w:t>
            </w:r>
            <w:bookmarkEnd w:id="43"/>
          </w:p>
        </w:tc>
      </w:tr>
    </w:tbl>
    <w:p>
      <w:pPr>
        <w:pStyle w:val="BodyText"/>
        <w:rPr/>
      </w:pPr>
      <w:r>
        <w:rPr/>
        <w:t>Удостоверимся, что документы созданы (</w:t>
      </w:r>
      <w:hyperlink w:anchor="fig-0017">
        <w:r>
          <w:rPr>
            <w:rStyle w:val="Hyperlink"/>
          </w:rPr>
          <w:t>рис. 17</w:t>
        </w:r>
      </w:hyperlink>
      <w:r>
        <w:rPr/>
        <w:t>).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4" w:name="fig-0017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drawing>
                <wp:inline distT="0" distB="0" distL="0" distR="0">
                  <wp:extent cx="3733800" cy="2304415"/>
                  <wp:effectExtent l="0" t="0" r="0" b="0"/>
                  <wp:docPr id="17" name="Изображение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Изображение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ru-RU" w:eastAsia="zh-CN" w:bidi="ar-SA"/>
              </w:rPr>
            </w:pPr>
            <w:bookmarkStart w:id="45" w:name="fig-0017"/>
            <w:r>
              <w:rPr>
                <w:rFonts w:eastAsia="" w:cs=""/>
                <w:kern w:val="0"/>
                <w:sz w:val="24"/>
                <w:szCs w:val="24"/>
                <w:lang w:val="ru-RU" w:eastAsia="zh-CN" w:bidi="ar-SA"/>
              </w:rPr>
              <w:t>Рисунок 17: Проверка:</w:t>
            </w:r>
            <w:bookmarkEnd w:id="45"/>
          </w:p>
        </w:tc>
      </w:tr>
    </w:tbl>
    <w:p>
      <w:pPr>
        <w:pStyle w:val="BodyText"/>
        <w:rPr/>
      </w:pPr>
      <w:r>
        <w:rPr/>
        <w:t xml:space="preserve">  </w:t>
      </w:r>
      <w:r>
        <w:rPr/>
        <w:t># Выводы</w:t>
      </w:r>
    </w:p>
    <w:p>
      <w:pPr>
        <w:pStyle w:val="BodyText"/>
        <w:rPr/>
      </w:pPr>
      <w:bookmarkStart w:id="46" w:name="выполнение-лабораторной-работы"/>
      <w:r>
        <w:rPr/>
        <w:t>В данной лабораторной работе мы создали два скрипта, преобразовали их в литературный стиль, добавили набор параметров и создали документацию в формате _quarto.</w:t>
      </w:r>
      <w:bookmarkEnd w:id="46"/>
    </w:p>
    <w:p>
      <w:pPr>
        <w:pStyle w:val="Heading1"/>
        <w:rPr/>
      </w:pPr>
      <w:bookmarkStart w:id="47" w:name="__RefHeading___Toc2869_2429160530"/>
      <w:bookmarkStart w:id="48" w:name="список-литературы"/>
      <w:bookmarkEnd w:id="47"/>
      <w:r>
        <w:rPr/>
        <w:t>Список литературы</w:t>
      </w:r>
    </w:p>
    <w:p>
      <w:pPr>
        <w:pStyle w:val="Bibliography"/>
        <w:rPr/>
      </w:pPr>
      <w:bookmarkStart w:id="49" w:name="refs"/>
      <w:bookmarkStart w:id="50" w:name="ref-tanenbaum_book_modern-os_ru"/>
      <w:r>
        <w:rPr/>
        <w:t xml:space="preserve">1. </w:t>
        <w:tab/>
        <w:t>Таненбаум Э., Бос Х. Современные операционные системы. 4-е изд. СПб.: Питер, 2015. 1120 с.</w:t>
      </w:r>
      <w:bookmarkEnd w:id="50"/>
    </w:p>
    <w:p>
      <w:pPr>
        <w:pStyle w:val="Bibliography"/>
        <w:rPr/>
      </w:pPr>
      <w:bookmarkStart w:id="51" w:name="ref-robbins_book_bash_en"/>
      <w:r>
        <w:rPr/>
        <w:t xml:space="preserve">2. </w:t>
        <w:tab/>
        <w:t>Robbins A. Bash Pocket Reference. O’Reilly Media, 2016. 156 с.</w:t>
      </w:r>
      <w:bookmarkEnd w:id="51"/>
    </w:p>
    <w:p>
      <w:pPr>
        <w:pStyle w:val="Bibliography"/>
        <w:rPr/>
      </w:pPr>
      <w:bookmarkStart w:id="52" w:name="ref-zarrelli_book_mastering-bash_en"/>
      <w:r>
        <w:rPr/>
        <w:t xml:space="preserve">3. </w:t>
        <w:tab/>
        <w:t>Zarrelli G. Mastering Bash. Packt Publishing, 2017. 502 с.</w:t>
      </w:r>
      <w:bookmarkEnd w:id="52"/>
    </w:p>
    <w:p>
      <w:pPr>
        <w:pStyle w:val="Bibliography"/>
        <w:spacing w:before="0" w:after="200"/>
        <w:rPr/>
      </w:pPr>
      <w:bookmarkStart w:id="53" w:name="ref-newham_book_learning-bash_en"/>
      <w:r>
        <w:rPr/>
        <w:t xml:space="preserve">4. </w:t>
        <w:tab/>
        <w:t xml:space="preserve">Newham C. </w:t>
      </w:r>
      <w:hyperlink r:id="rId19">
        <w:r>
          <w:rPr>
            <w:rStyle w:val="Hyperlink"/>
          </w:rPr>
          <w:t>Learning the bash Shell: Unix Shell Programming</w:t>
        </w:r>
      </w:hyperlink>
      <w:r>
        <w:rPr/>
        <w:t>. O’Reilly Media, 2005. 354 с.</w:t>
      </w:r>
      <w:bookmarkEnd w:id="48"/>
      <w:bookmarkEnd w:id="49"/>
      <w:bookmarkEnd w:id="5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ru-RU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tyle9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9"/>
    <w:qFormat/>
    <w:pPr>
      <w:keepNext w:val="true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Style8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hyperlink" Target="http://www.amazon.com/Learning-bash-Shell-Programming-Nutshell/dp/0596009658" TargetMode="Externa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10</Pages>
  <Words>519</Words>
  <Characters>3289</Characters>
  <CharactersWithSpaces>3735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2026-09-02T20:16:13Z</dcterms:created>
  <dc:creator>Швецов Михаил Романович</dc:creator>
  <dc:description/>
  <dc:language>ru-RU</dc:language>
  <cp:lastModifiedBy/>
  <dcterms:modified xsi:type="dcterms:W3CDTF">2026-09-02T23:17:10Z</dcterms:modified>
  <cp:revision>1</cp:revision>
  <dc:subject/>
  <dc:title>Отчёт по лабораторной работе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№2</vt:lpwstr>
  </property>
  <property fmtid="{D5CDD505-2E9C-101B-9397-08002B2CF9AE}" pid="16" name="toc-title">
    <vt:lpwstr>Содержание</vt:lpwstr>
  </property>
</Properties>
</file>