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sz w:val="48"/>
          <w:szCs w:val="48"/>
        </w:rPr>
      </w:pPr>
      <w:r w:rsidDel="00000000" w:rsidR="00000000" w:rsidRPr="00000000">
        <w:rPr>
          <w:rtl w:val="0"/>
        </w:rPr>
      </w:r>
    </w:p>
    <w:p w:rsidR="00000000" w:rsidDel="00000000" w:rsidP="00000000" w:rsidRDefault="00000000" w:rsidRPr="00000000" w14:paraId="00000002">
      <w:pPr>
        <w:spacing w:after="80" w:lineRule="auto"/>
        <w:jc w:val="center"/>
        <w:rPr>
          <w:b w:val="1"/>
          <w:bCs w:val="1"/>
          <w:sz w:val="48"/>
          <w:szCs w:val="48"/>
        </w:rPr>
      </w:pPr>
      <w:r w:rsidDel="00000000" w:rsidR="00000000" w:rsidRPr="00000000">
        <w:rPr>
          <w:b w:val="1"/>
          <w:bCs w:val="1"/>
          <w:sz w:val="48"/>
          <w:szCs w:val="48"/>
          <w:rtl w:val="0"/>
        </w:rPr>
        <w:t xml:space="preserve">Project Synopsis</w:t>
      </w:r>
    </w:p>
    <w:p w:rsidR="00000000" w:rsidDel="00000000" w:rsidP="00000000" w:rsidRDefault="00000000" w:rsidRPr="00000000" w14:paraId="00000003">
      <w:pPr>
        <w:spacing w:after="80" w:lineRule="auto"/>
        <w:jc w:val="center"/>
        <w:rPr>
          <w:sz w:val="32"/>
          <w:szCs w:val="32"/>
        </w:rPr>
      </w:pPr>
      <w:r w:rsidDel="00000000" w:rsidR="00000000" w:rsidRPr="00000000">
        <w:rPr>
          <w:sz w:val="32"/>
          <w:szCs w:val="32"/>
          <w:rtl w:val="0"/>
        </w:rPr>
        <w:t xml:space="preserve">Big Data Analytics</w:t>
      </w:r>
    </w:p>
    <w:p w:rsidR="00000000" w:rsidDel="00000000" w:rsidP="00000000" w:rsidRDefault="00000000" w:rsidRPr="00000000" w14:paraId="00000004">
      <w:pPr>
        <w:spacing w:after="80" w:lineRule="auto"/>
        <w:jc w:val="center"/>
        <w:rPr>
          <w:b w:val="1"/>
          <w:bCs w:val="1"/>
          <w:sz w:val="48"/>
          <w:szCs w:val="48"/>
        </w:rPr>
      </w:pPr>
      <w:r w:rsidDel="00000000" w:rsidR="00000000" w:rsidRPr="00000000">
        <w:rPr>
          <w:rtl w:val="0"/>
        </w:rPr>
      </w:r>
    </w:p>
    <w:p w:rsidR="00000000" w:rsidDel="00000000" w:rsidP="00000000" w:rsidRDefault="00000000" w:rsidRPr="00000000" w14:paraId="00000005">
      <w:pPr>
        <w:spacing w:after="80" w:lineRule="auto"/>
        <w:jc w:val="center"/>
        <w:rPr>
          <w:b w:val="1"/>
          <w:bCs w:val="1"/>
          <w:sz w:val="48"/>
          <w:szCs w:val="48"/>
        </w:rPr>
      </w:pPr>
      <w:r w:rsidDel="00000000" w:rsidR="00000000" w:rsidRPr="00000000">
        <w:rPr>
          <w:rtl w:val="0"/>
        </w:rPr>
      </w:r>
    </w:p>
    <w:p w:rsidR="00000000" w:rsidDel="00000000" w:rsidP="00000000" w:rsidRDefault="00000000" w:rsidRPr="00000000" w14:paraId="00000006">
      <w:pPr>
        <w:spacing w:after="80" w:lineRule="auto"/>
        <w:jc w:val="center"/>
        <w:rPr>
          <w:b w:val="1"/>
          <w:bCs w:val="1"/>
          <w:sz w:val="48"/>
          <w:szCs w:val="48"/>
        </w:rPr>
      </w:pPr>
      <w:r w:rsidDel="00000000" w:rsidR="00000000" w:rsidRPr="00000000">
        <w:rPr>
          <w:rtl w:val="0"/>
        </w:rPr>
      </w:r>
    </w:p>
    <w:tbl>
      <w:tblPr>
        <w:tblStyle w:val="Table1"/>
        <w:tblW w:w="911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6357"/>
        <w:tblGridChange w:id="0">
          <w:tblGrid>
            <w:gridCol w:w="2760"/>
            <w:gridCol w:w="6357"/>
          </w:tblGrid>
        </w:tblGridChange>
      </w:tblGrid>
      <w:tr>
        <w:trPr>
          <w:cantSplit w:val="0"/>
          <w:trHeight w:val="269" w:hRule="atLeast"/>
          <w:tblHeader w:val="0"/>
        </w:trPr>
        <w:tc>
          <w:tcPr/>
          <w:p w:rsidR="00000000" w:rsidDel="00000000" w:rsidP="00000000" w:rsidRDefault="00000000" w:rsidRPr="00000000" w14:paraId="00000007">
            <w:pPr>
              <w:spacing w:after="80" w:lineRule="auto"/>
              <w:jc w:val="center"/>
              <w:rPr>
                <w:b w:val="1"/>
                <w:bCs w:val="1"/>
                <w:sz w:val="28"/>
                <w:szCs w:val="28"/>
              </w:rPr>
            </w:pPr>
            <w:r w:rsidDel="00000000" w:rsidR="00000000" w:rsidRPr="00000000">
              <w:rPr>
                <w:b w:val="1"/>
                <w:bCs w:val="1"/>
                <w:sz w:val="28"/>
                <w:szCs w:val="28"/>
                <w:rtl w:val="0"/>
              </w:rPr>
              <w:t xml:space="preserve">Project Title</w:t>
            </w:r>
          </w:p>
        </w:tc>
        <w:tc>
          <w:tcPr/>
          <w:p w:rsidR="00000000" w:rsidDel="00000000" w:rsidP="00000000" w:rsidRDefault="00000000" w:rsidRPr="00000000" w14:paraId="00000008">
            <w:pPr>
              <w:spacing w:after="80" w:lineRule="auto"/>
              <w:jc w:val="center"/>
              <w:rPr>
                <w:sz w:val="8"/>
                <w:szCs w:val="8"/>
              </w:rPr>
            </w:pPr>
            <w:r w:rsidDel="00000000" w:rsidR="00000000" w:rsidRPr="00000000">
              <w:rPr>
                <w:sz w:val="28"/>
                <w:szCs w:val="28"/>
                <w:rtl w:val="0"/>
              </w:rPr>
              <w:t xml:space="preserve">Advanced Retrieval-Augmented Generation for Regulatory Financial Analysis</w:t>
            </w:r>
            <w:r w:rsidDel="00000000" w:rsidR="00000000" w:rsidRPr="00000000">
              <w:rPr>
                <w:rtl w:val="0"/>
              </w:rPr>
            </w:r>
          </w:p>
        </w:tc>
      </w:tr>
      <w:tr>
        <w:trPr>
          <w:cantSplit w:val="0"/>
          <w:trHeight w:val="453" w:hRule="atLeast"/>
          <w:tblHeader w:val="0"/>
        </w:trPr>
        <w:tc>
          <w:tcPr/>
          <w:p w:rsidR="00000000" w:rsidDel="00000000" w:rsidP="00000000" w:rsidRDefault="00000000" w:rsidRPr="00000000" w14:paraId="00000009">
            <w:pPr>
              <w:spacing w:after="80" w:lineRule="auto"/>
              <w:jc w:val="center"/>
              <w:rPr>
                <w:b w:val="1"/>
                <w:bCs w:val="1"/>
                <w:sz w:val="28"/>
                <w:szCs w:val="28"/>
              </w:rPr>
            </w:pPr>
            <w:r w:rsidDel="00000000" w:rsidR="00000000" w:rsidRPr="00000000">
              <w:rPr>
                <w:b w:val="1"/>
                <w:bCs w:val="1"/>
                <w:sz w:val="28"/>
                <w:szCs w:val="28"/>
                <w:rtl w:val="0"/>
              </w:rPr>
              <w:t xml:space="preserve">Team Member 1</w:t>
            </w:r>
          </w:p>
        </w:tc>
        <w:tc>
          <w:tcPr/>
          <w:p w:rsidR="00000000" w:rsidDel="00000000" w:rsidP="00000000" w:rsidRDefault="00000000" w:rsidRPr="00000000" w14:paraId="0000000A">
            <w:pPr>
              <w:spacing w:after="80" w:lineRule="auto"/>
              <w:rPr>
                <w:sz w:val="28"/>
                <w:szCs w:val="28"/>
              </w:rPr>
            </w:pPr>
            <w:r w:rsidDel="00000000" w:rsidR="00000000" w:rsidRPr="00000000">
              <w:rPr>
                <w:sz w:val="28"/>
                <w:szCs w:val="28"/>
                <w:rtl w:val="0"/>
              </w:rPr>
              <w:t xml:space="preserve">Sarvesh Kumar 230905212 CSE</w:t>
            </w:r>
          </w:p>
        </w:tc>
      </w:tr>
      <w:tr>
        <w:trPr>
          <w:cantSplit w:val="0"/>
          <w:trHeight w:val="444" w:hRule="atLeast"/>
          <w:tblHeader w:val="0"/>
        </w:trPr>
        <w:tc>
          <w:tcPr/>
          <w:p w:rsidR="00000000" w:rsidDel="00000000" w:rsidP="00000000" w:rsidRDefault="00000000" w:rsidRPr="00000000" w14:paraId="0000000B">
            <w:pPr>
              <w:spacing w:after="80" w:lineRule="auto"/>
              <w:jc w:val="center"/>
              <w:rPr>
                <w:b w:val="1"/>
                <w:bCs w:val="1"/>
                <w:sz w:val="28"/>
                <w:szCs w:val="28"/>
              </w:rPr>
            </w:pPr>
            <w:r w:rsidDel="00000000" w:rsidR="00000000" w:rsidRPr="00000000">
              <w:rPr>
                <w:b w:val="1"/>
                <w:bCs w:val="1"/>
                <w:sz w:val="28"/>
                <w:szCs w:val="28"/>
                <w:rtl w:val="0"/>
              </w:rPr>
              <w:t xml:space="preserve">Team Member 2</w:t>
            </w:r>
          </w:p>
        </w:tc>
        <w:tc>
          <w:tcPr/>
          <w:p w:rsidR="00000000" w:rsidDel="00000000" w:rsidP="00000000" w:rsidRDefault="00000000" w:rsidRPr="00000000" w14:paraId="0000000C">
            <w:pPr>
              <w:spacing w:after="80" w:lineRule="auto"/>
              <w:rPr>
                <w:sz w:val="28"/>
                <w:szCs w:val="28"/>
              </w:rPr>
            </w:pPr>
            <w:r w:rsidDel="00000000" w:rsidR="00000000" w:rsidRPr="00000000">
              <w:rPr>
                <w:sz w:val="28"/>
                <w:szCs w:val="28"/>
                <w:rtl w:val="0"/>
              </w:rPr>
              <w:t xml:space="preserve">Gitaansh Bhuradia  230905254  CSE</w:t>
            </w:r>
          </w:p>
        </w:tc>
      </w:tr>
      <w:tr>
        <w:trPr>
          <w:cantSplit w:val="0"/>
          <w:trHeight w:val="453" w:hRule="atLeast"/>
          <w:tblHeader w:val="0"/>
        </w:trPr>
        <w:tc>
          <w:tcPr/>
          <w:p w:rsidR="00000000" w:rsidDel="00000000" w:rsidP="00000000" w:rsidRDefault="00000000" w:rsidRPr="00000000" w14:paraId="0000000D">
            <w:pPr>
              <w:spacing w:after="80" w:lineRule="auto"/>
              <w:jc w:val="center"/>
              <w:rPr>
                <w:b w:val="1"/>
                <w:bCs w:val="1"/>
                <w:sz w:val="28"/>
                <w:szCs w:val="28"/>
              </w:rPr>
            </w:pPr>
            <w:r w:rsidDel="00000000" w:rsidR="00000000" w:rsidRPr="00000000">
              <w:rPr>
                <w:b w:val="1"/>
                <w:bCs w:val="1"/>
                <w:sz w:val="28"/>
                <w:szCs w:val="28"/>
                <w:rtl w:val="0"/>
              </w:rPr>
              <w:t xml:space="preserve">Team Member 3</w:t>
            </w:r>
          </w:p>
        </w:tc>
        <w:tc>
          <w:tcPr/>
          <w:p w:rsidR="00000000" w:rsidDel="00000000" w:rsidP="00000000" w:rsidRDefault="00000000" w:rsidRPr="00000000" w14:paraId="0000000E">
            <w:pPr>
              <w:spacing w:after="80" w:lineRule="auto"/>
              <w:rPr>
                <w:sz w:val="28"/>
                <w:szCs w:val="28"/>
              </w:rPr>
            </w:pPr>
            <w:r w:rsidDel="00000000" w:rsidR="00000000" w:rsidRPr="00000000">
              <w:rPr>
                <w:sz w:val="28"/>
                <w:szCs w:val="28"/>
                <w:rtl w:val="0"/>
              </w:rPr>
              <w:t xml:space="preserve">Shasmeet Shinde  230905246  CSE</w:t>
            </w:r>
          </w:p>
        </w:tc>
      </w:tr>
      <w:tr>
        <w:trPr>
          <w:cantSplit w:val="0"/>
          <w:trHeight w:val="444" w:hRule="atLeast"/>
          <w:tblHeader w:val="0"/>
        </w:trPr>
        <w:tc>
          <w:tcPr/>
          <w:p w:rsidR="00000000" w:rsidDel="00000000" w:rsidP="00000000" w:rsidRDefault="00000000" w:rsidRPr="00000000" w14:paraId="0000000F">
            <w:pPr>
              <w:spacing w:after="80" w:lineRule="auto"/>
              <w:jc w:val="center"/>
              <w:rPr>
                <w:b w:val="1"/>
                <w:bCs w:val="1"/>
                <w:sz w:val="28"/>
                <w:szCs w:val="28"/>
              </w:rPr>
            </w:pPr>
            <w:r w:rsidDel="00000000" w:rsidR="00000000" w:rsidRPr="00000000">
              <w:rPr>
                <w:b w:val="1"/>
                <w:bCs w:val="1"/>
                <w:sz w:val="28"/>
                <w:szCs w:val="28"/>
                <w:rtl w:val="0"/>
              </w:rPr>
              <w:t xml:space="preserve">Team Member 4</w:t>
            </w:r>
          </w:p>
        </w:tc>
        <w:tc>
          <w:tcPr/>
          <w:p w:rsidR="00000000" w:rsidDel="00000000" w:rsidP="00000000" w:rsidRDefault="00000000" w:rsidRPr="00000000" w14:paraId="00000010">
            <w:pPr>
              <w:spacing w:after="80" w:lineRule="auto"/>
              <w:rPr>
                <w:sz w:val="28"/>
                <w:szCs w:val="28"/>
              </w:rPr>
            </w:pPr>
            <w:r w:rsidDel="00000000" w:rsidR="00000000" w:rsidRPr="00000000">
              <w:rPr>
                <w:sz w:val="28"/>
                <w:szCs w:val="28"/>
                <w:rtl w:val="0"/>
              </w:rPr>
              <w:t xml:space="preserve">Konthalapalli Laalenthika 230905064 CSE</w:t>
            </w:r>
          </w:p>
        </w:tc>
      </w:tr>
      <w:tr>
        <w:trPr>
          <w:cantSplit w:val="0"/>
          <w:trHeight w:val="453" w:hRule="atLeast"/>
          <w:tblHeader w:val="0"/>
        </w:trPr>
        <w:tc>
          <w:tcPr/>
          <w:p w:rsidR="00000000" w:rsidDel="00000000" w:rsidP="00000000" w:rsidRDefault="00000000" w:rsidRPr="00000000" w14:paraId="00000011">
            <w:pPr>
              <w:spacing w:after="80" w:lineRule="auto"/>
              <w:jc w:val="center"/>
              <w:rPr>
                <w:b w:val="1"/>
                <w:bCs w:val="1"/>
                <w:sz w:val="28"/>
                <w:szCs w:val="28"/>
              </w:rPr>
            </w:pPr>
            <w:r w:rsidDel="00000000" w:rsidR="00000000" w:rsidRPr="00000000">
              <w:rPr>
                <w:b w:val="1"/>
                <w:bCs w:val="1"/>
                <w:sz w:val="28"/>
                <w:szCs w:val="28"/>
                <w:rtl w:val="0"/>
              </w:rPr>
              <w:t xml:space="preserve">Minor Specialization</w:t>
            </w:r>
          </w:p>
        </w:tc>
        <w:tc>
          <w:tcPr/>
          <w:p w:rsidR="00000000" w:rsidDel="00000000" w:rsidP="00000000" w:rsidRDefault="00000000" w:rsidRPr="00000000" w14:paraId="00000012">
            <w:pPr>
              <w:spacing w:after="80" w:lineRule="auto"/>
              <w:rPr>
                <w:sz w:val="28"/>
                <w:szCs w:val="28"/>
              </w:rPr>
            </w:pPr>
            <w:r w:rsidDel="00000000" w:rsidR="00000000" w:rsidRPr="00000000">
              <w:rPr>
                <w:sz w:val="28"/>
                <w:szCs w:val="28"/>
                <w:rtl w:val="0"/>
              </w:rPr>
              <w:t xml:space="preserve">Big Data Analytics</w:t>
            </w:r>
          </w:p>
        </w:tc>
      </w:tr>
      <w:tr>
        <w:trPr>
          <w:cantSplit w:val="0"/>
          <w:trHeight w:val="615" w:hRule="atLeast"/>
          <w:tblHeader w:val="0"/>
        </w:trPr>
        <w:tc>
          <w:tcPr>
            <w:tcBorders>
              <w:left w:color="000000" w:space="0" w:sz="4" w:val="single"/>
              <w:bottom w:color="000000" w:space="0" w:sz="8" w:val="single"/>
              <w:right w:color="000000" w:space="0" w:sz="4" w:val="single"/>
            </w:tcBorders>
          </w:tcPr>
          <w:p w:rsidR="00000000" w:rsidDel="00000000" w:rsidP="00000000" w:rsidRDefault="00000000" w:rsidRPr="00000000" w14:paraId="00000013">
            <w:pPr>
              <w:spacing w:after="80" w:lineRule="auto"/>
              <w:rPr>
                <w:b w:val="1"/>
                <w:bCs w:val="1"/>
                <w:sz w:val="28"/>
                <w:szCs w:val="28"/>
              </w:rPr>
            </w:pPr>
            <w:r w:rsidDel="00000000" w:rsidR="00000000" w:rsidRPr="00000000">
              <w:rPr>
                <w:b w:val="1"/>
                <w:bCs w:val="1"/>
                <w:sz w:val="28"/>
                <w:szCs w:val="28"/>
                <w:rtl w:val="0"/>
              </w:rPr>
              <w:t xml:space="preserve">       Supervisor </w:t>
            </w:r>
          </w:p>
        </w:tc>
        <w:tc>
          <w:tcPr>
            <w:tcBorders>
              <w:left w:color="000000" w:space="0" w:sz="4" w:val="single"/>
              <w:bottom w:color="3d85c6" w:space="0" w:sz="8" w:val="single"/>
              <w:right w:color="000000" w:space="0" w:sz="4" w:val="single"/>
            </w:tcBorders>
          </w:tcPr>
          <w:p w:rsidR="00000000" w:rsidDel="00000000" w:rsidP="00000000" w:rsidRDefault="00000000" w:rsidRPr="00000000" w14:paraId="00000014">
            <w:pPr>
              <w:spacing w:after="80" w:lineRule="auto"/>
              <w:rPr>
                <w:b w:val="1"/>
                <w:bCs w:val="1"/>
                <w:sz w:val="28"/>
                <w:szCs w:val="28"/>
              </w:rPr>
            </w:pPr>
            <w:r w:rsidDel="00000000" w:rsidR="00000000" w:rsidRPr="00000000">
              <w:rPr>
                <w:sz w:val="28"/>
                <w:szCs w:val="28"/>
                <w:rtl w:val="0"/>
              </w:rPr>
              <w:t xml:space="preserve">Dr. Gopalakrishna N. Kini</w:t>
            </w:r>
            <w:r w:rsidDel="00000000" w:rsidR="00000000" w:rsidRPr="00000000">
              <w:rPr>
                <w:rtl w:val="0"/>
              </w:rPr>
            </w:r>
          </w:p>
        </w:tc>
      </w:tr>
    </w:tbl>
    <w:p w:rsidR="00000000" w:rsidDel="00000000" w:rsidP="00000000" w:rsidRDefault="00000000" w:rsidRPr="00000000" w14:paraId="00000015">
      <w:pPr>
        <w:spacing w:after="80" w:lineRule="auto"/>
        <w:rPr>
          <w:b w:val="1"/>
          <w:bCs w:val="1"/>
          <w:sz w:val="28"/>
          <w:szCs w:val="28"/>
        </w:rPr>
      </w:pPr>
      <w:r w:rsidDel="00000000" w:rsidR="00000000" w:rsidRPr="00000000">
        <w:rPr>
          <w:rtl w:val="0"/>
        </w:rPr>
      </w:r>
    </w:p>
    <w:p w:rsidR="00000000" w:rsidDel="00000000" w:rsidP="00000000" w:rsidRDefault="00000000" w:rsidRPr="00000000" w14:paraId="00000016">
      <w:pPr>
        <w:spacing w:after="80" w:lineRule="auto"/>
        <w:rPr>
          <w:b w:val="1"/>
          <w:bCs w:val="1"/>
          <w:sz w:val="28"/>
          <w:szCs w:val="28"/>
        </w:rPr>
      </w:pPr>
      <w:r w:rsidDel="00000000" w:rsidR="00000000" w:rsidRPr="00000000">
        <w:rPr>
          <w:rtl w:val="0"/>
        </w:rPr>
      </w:r>
    </w:p>
    <w:p w:rsidR="00000000" w:rsidDel="00000000" w:rsidP="00000000" w:rsidRDefault="00000000" w:rsidRPr="00000000" w14:paraId="00000017">
      <w:pPr>
        <w:rPr>
          <w:b w:val="1"/>
          <w:bCs w:val="1"/>
          <w:sz w:val="48"/>
          <w:szCs w:val="48"/>
        </w:rPr>
      </w:pPr>
      <w:r w:rsidDel="00000000" w:rsidR="00000000" w:rsidRPr="00000000">
        <w:rPr>
          <w:rtl w:val="0"/>
        </w:rPr>
      </w:r>
    </w:p>
    <w:p w:rsidR="00000000" w:rsidDel="00000000" w:rsidP="00000000" w:rsidRDefault="00000000" w:rsidRPr="00000000" w14:paraId="00000018">
      <w:pPr>
        <w:rPr>
          <w:b w:val="1"/>
          <w:bCs w:val="1"/>
          <w:sz w:val="48"/>
          <w:szCs w:val="48"/>
        </w:rPr>
      </w:pPr>
      <w:r w:rsidDel="00000000" w:rsidR="00000000" w:rsidRPr="00000000">
        <w:rPr>
          <w:rtl w:val="0"/>
        </w:rPr>
      </w:r>
    </w:p>
    <w:p w:rsidR="00000000" w:rsidDel="00000000" w:rsidP="00000000" w:rsidRDefault="00000000" w:rsidRPr="00000000" w14:paraId="00000019">
      <w:pPr>
        <w:rPr>
          <w:b w:val="1"/>
          <w:bCs w:val="1"/>
          <w:sz w:val="48"/>
          <w:szCs w:val="48"/>
        </w:rPr>
      </w:pPr>
      <w:r w:rsidDel="00000000" w:rsidR="00000000" w:rsidRPr="00000000">
        <w:rPr>
          <w:rtl w:val="0"/>
        </w:rPr>
      </w:r>
    </w:p>
    <w:p w:rsidR="00000000" w:rsidDel="00000000" w:rsidP="00000000" w:rsidRDefault="00000000" w:rsidRPr="00000000" w14:paraId="0000001A">
      <w:pPr>
        <w:spacing w:after="80" w:lineRule="auto"/>
        <w:rPr>
          <w:b w:val="1"/>
          <w:bCs w:val="1"/>
          <w:sz w:val="28"/>
          <w:szCs w:val="28"/>
        </w:rPr>
      </w:pPr>
      <w:r w:rsidDel="00000000" w:rsidR="00000000" w:rsidRPr="00000000">
        <w:rPr>
          <w:rtl w:val="0"/>
        </w:rPr>
      </w:r>
    </w:p>
    <w:p w:rsidR="00000000" w:rsidDel="00000000" w:rsidP="00000000" w:rsidRDefault="00000000" w:rsidRPr="00000000" w14:paraId="0000001B">
      <w:pPr>
        <w:rPr>
          <w:b w:val="1"/>
          <w:bCs w:val="1"/>
          <w:sz w:val="48"/>
          <w:szCs w:val="48"/>
        </w:rPr>
      </w:pPr>
      <w:r w:rsidDel="00000000" w:rsidR="00000000" w:rsidRPr="00000000">
        <w:rPr>
          <w:rtl w:val="0"/>
        </w:rPr>
      </w:r>
    </w:p>
    <w:p w:rsidR="00000000" w:rsidDel="00000000" w:rsidP="00000000" w:rsidRDefault="00000000" w:rsidRPr="00000000" w14:paraId="0000001C">
      <w:pPr>
        <w:rPr>
          <w:b w:val="1"/>
          <w:bCs w:val="1"/>
          <w:sz w:val="48"/>
          <w:szCs w:val="48"/>
        </w:rPr>
      </w:pPr>
      <w:r w:rsidDel="00000000" w:rsidR="00000000" w:rsidRPr="00000000">
        <w:rPr>
          <w:rtl w:val="0"/>
        </w:rPr>
      </w:r>
    </w:p>
    <w:p w:rsidR="00000000" w:rsidDel="00000000" w:rsidP="00000000" w:rsidRDefault="00000000" w:rsidRPr="00000000" w14:paraId="0000001D">
      <w:pPr>
        <w:rPr>
          <w:b w:val="1"/>
          <w:bCs w:val="1"/>
          <w:sz w:val="48"/>
          <w:szCs w:val="48"/>
        </w:rPr>
      </w:pPr>
      <w:r w:rsidDel="00000000" w:rsidR="00000000" w:rsidRPr="00000000">
        <w:rPr>
          <w:rtl w:val="0"/>
        </w:rPr>
      </w:r>
    </w:p>
    <w:p w:rsidR="00000000" w:rsidDel="00000000" w:rsidP="00000000" w:rsidRDefault="00000000" w:rsidRPr="00000000" w14:paraId="0000001E">
      <w:pPr>
        <w:spacing w:after="80" w:lineRule="auto"/>
        <w:jc w:val="center"/>
        <w:rPr>
          <w:sz w:val="48"/>
          <w:szCs w:val="48"/>
        </w:rPr>
      </w:pPr>
      <w:r w:rsidDel="00000000" w:rsidR="00000000" w:rsidRPr="00000000">
        <w:rPr>
          <w:b w:val="1"/>
          <w:bCs w:val="1"/>
          <w:sz w:val="48"/>
          <w:szCs w:val="48"/>
          <w:rtl w:val="0"/>
        </w:rPr>
        <w:t xml:space="preserve">Advanced Retrieval-Augmented Generation for Regulatory Financial Analysis</w:t>
      </w:r>
      <w:r w:rsidDel="00000000" w:rsidR="00000000" w:rsidRPr="00000000">
        <w:rPr>
          <w:rtl w:val="0"/>
        </w:rPr>
      </w:r>
    </w:p>
    <w:p w:rsidR="00000000" w:rsidDel="00000000" w:rsidP="00000000" w:rsidRDefault="00000000" w:rsidRPr="00000000" w14:paraId="0000001F">
      <w:pPr>
        <w:spacing w:after="80" w:lineRule="auto"/>
        <w:jc w:val="center"/>
        <w:rPr/>
      </w:pPr>
      <w:r w:rsidDel="00000000" w:rsidR="00000000" w:rsidRPr="00000000">
        <w:rPr>
          <w:sz w:val="26"/>
          <w:szCs w:val="26"/>
          <w:rtl w:val="0"/>
        </w:rPr>
        <w:t xml:space="preserve">A Technical Review of Architectures, Domain-Specific Embeddings,</w:t>
      </w:r>
      <w:r w:rsidDel="00000000" w:rsidR="00000000" w:rsidRPr="00000000">
        <w:rPr>
          <w:rtl w:val="0"/>
        </w:rPr>
      </w:r>
    </w:p>
    <w:p w:rsidR="00000000" w:rsidDel="00000000" w:rsidP="00000000" w:rsidRDefault="00000000" w:rsidRPr="00000000" w14:paraId="00000020">
      <w:pPr>
        <w:spacing w:after="80" w:lineRule="auto"/>
        <w:jc w:val="center"/>
        <w:rPr/>
      </w:pPr>
      <w:r w:rsidDel="00000000" w:rsidR="00000000" w:rsidRPr="00000000">
        <w:rPr>
          <w:sz w:val="26"/>
          <w:szCs w:val="26"/>
          <w:rtl w:val="0"/>
        </w:rPr>
        <w:t xml:space="preserve">and Long-Context Reasoning for Indian IPO Prospectuses</w:t>
      </w:r>
      <w:r w:rsidDel="00000000" w:rsidR="00000000" w:rsidRPr="00000000">
        <w:rPr>
          <w:rtl w:val="0"/>
        </w:rPr>
      </w:r>
    </w:p>
    <w:p w:rsidR="00000000" w:rsidDel="00000000" w:rsidP="00000000" w:rsidRDefault="00000000" w:rsidRPr="00000000" w14:paraId="00000021">
      <w:pPr>
        <w:pStyle w:val="Heading1"/>
        <w:rPr>
          <w:color w:val="000000"/>
        </w:rPr>
      </w:pPr>
      <w:r w:rsidDel="00000000" w:rsidR="00000000" w:rsidRPr="00000000">
        <w:rPr>
          <w:rtl w:val="0"/>
        </w:rPr>
      </w:r>
    </w:p>
    <w:p w:rsidR="00000000" w:rsidDel="00000000" w:rsidP="00000000" w:rsidRDefault="00000000" w:rsidRPr="00000000" w14:paraId="00000022">
      <w:pPr>
        <w:pStyle w:val="Heading1"/>
        <w:rPr>
          <w:color w:val="000000"/>
        </w:rPr>
      </w:pPr>
      <w:r w:rsidDel="00000000" w:rsidR="00000000" w:rsidRPr="00000000">
        <w:rPr>
          <w:color w:val="000000"/>
          <w:rtl w:val="0"/>
        </w:rPr>
        <w:t xml:space="preserve">1. Introduction</w:t>
      </w:r>
    </w:p>
    <w:p w:rsidR="00000000" w:rsidDel="00000000" w:rsidP="00000000" w:rsidRDefault="00000000" w:rsidRPr="00000000" w14:paraId="0000002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Indian capital markets have witnessed a significant surge in Initial Public Offering (IPO) activity, making the analysis of regulatory filings increasingly complex and time-consuming. Indian IPO prospectuses — specifically the Draft Red Herring Prospectus (DRHP) and the Red Herring Prospectus (RHP), mandated by the Securities and Exchange Board of India (SEBI) — are dense, multi-hundred-page documents that amalgamate narrative business overviews, historical financial statements, legal disclosures, and risk assessments.</w:t>
      </w:r>
    </w:p>
    <w:p w:rsidR="00000000" w:rsidDel="00000000" w:rsidP="00000000" w:rsidRDefault="00000000" w:rsidRPr="00000000" w14:paraId="0000002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methods of manual analysis are insufficient to handle the scale and complexity of these documents. This project proposes the design and implementation of an automated analytical framework leveraging Retrieval-Augmented Generation (RAG) — a hybrid artificial intelligence paradigm that combines information retrieval with large language model (LLM)-based text generation.</w:t>
      </w:r>
    </w:p>
    <w:p w:rsidR="00000000" w:rsidDel="00000000" w:rsidP="00000000" w:rsidRDefault="00000000" w:rsidRPr="00000000" w14:paraId="00000025">
      <w:pPr>
        <w:spacing w:after="160" w:line="276" w:lineRule="auto"/>
        <w:rPr/>
      </w:pPr>
      <w:r w:rsidDel="00000000" w:rsidR="00000000" w:rsidRPr="00000000">
        <w:rPr>
          <w:rFonts w:ascii="Times New Roman" w:cs="Times New Roman" w:eastAsia="Times New Roman" w:hAnsi="Times New Roman"/>
          <w:sz w:val="28"/>
          <w:szCs w:val="28"/>
          <w:rtl w:val="0"/>
        </w:rPr>
        <w:t xml:space="preserve">The system utilizes hierarchical document chunking, dense vector embeddings (specifically BAAI/bge-large), a Qdrant vector database for efficient similarity search, and a locally-hosted Mistral 7B language model as the generative component. By grounding the LLM's outputs in verified SEBI documents, this framework aims to provide accurate, traceable, and auditable insights for regulatory oversight and investor due diligence in the Indian financial ecosystem</w:t>
      </w:r>
      <w:r w:rsidDel="00000000" w:rsidR="00000000" w:rsidRPr="00000000">
        <w:rPr>
          <w:rtl w:val="0"/>
        </w:rPr>
        <w:t xml:space="preserve">.</w:t>
      </w:r>
    </w:p>
    <w:p w:rsidR="00000000" w:rsidDel="00000000" w:rsidP="00000000" w:rsidRDefault="00000000" w:rsidRPr="00000000" w14:paraId="00000026">
      <w:pPr>
        <w:pStyle w:val="Heading1"/>
        <w:spacing w:line="276" w:lineRule="auto"/>
        <w:rPr>
          <w:color w:val="000000"/>
        </w:rPr>
      </w:pPr>
      <w:r w:rsidDel="00000000" w:rsidR="00000000" w:rsidRPr="00000000">
        <w:rPr>
          <w:rtl w:val="0"/>
        </w:rPr>
      </w:r>
    </w:p>
    <w:p w:rsidR="00000000" w:rsidDel="00000000" w:rsidP="00000000" w:rsidRDefault="00000000" w:rsidRPr="00000000" w14:paraId="00000027">
      <w:pPr>
        <w:pStyle w:val="Heading1"/>
        <w:spacing w:line="276" w:lineRule="auto"/>
        <w:rPr>
          <w:color w:val="000000"/>
        </w:rPr>
      </w:pPr>
      <w:r w:rsidDel="00000000" w:rsidR="00000000" w:rsidRPr="00000000">
        <w:rPr>
          <w:rtl w:val="0"/>
        </w:rPr>
      </w:r>
    </w:p>
    <w:p w:rsidR="00000000" w:rsidDel="00000000" w:rsidP="00000000" w:rsidRDefault="00000000" w:rsidRPr="00000000" w14:paraId="00000028">
      <w:pPr>
        <w:pStyle w:val="Heading1"/>
        <w:spacing w:line="276" w:lineRule="auto"/>
        <w:rPr>
          <w:color w:val="000000"/>
        </w:rPr>
      </w:pPr>
      <w:r w:rsidDel="00000000" w:rsidR="00000000" w:rsidRPr="00000000">
        <w:rPr>
          <w:color w:val="000000"/>
          <w:rtl w:val="0"/>
        </w:rPr>
        <w:t xml:space="preserve">2. Literature Review</w:t>
      </w:r>
    </w:p>
    <w:p w:rsidR="00000000" w:rsidDel="00000000" w:rsidP="00000000" w:rsidRDefault="00000000" w:rsidRPr="00000000" w14:paraId="0000002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literature supporting this project spans six key technical dimensions:</w:t>
      </w:r>
    </w:p>
    <w:p w:rsidR="00000000" w:rsidDel="00000000" w:rsidP="00000000" w:rsidRDefault="00000000" w:rsidRPr="00000000" w14:paraId="0000002A">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RAG Architecture and Retrieval Quality</w:t>
      </w:r>
    </w:p>
    <w:p w:rsidR="00000000" w:rsidDel="00000000" w:rsidP="00000000" w:rsidRDefault="00000000" w:rsidRPr="00000000" w14:paraId="0000002B">
      <w:pPr>
        <w:spacing w:after="16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Lewis et al. (2020) introduced the foundational RAG framework, demonstrating that combining pre-trained parametric memory with non-parametric document retrieval via dense passage retrieval (DPR) achieves state-of-the-art performance on knowledge-intensive NLP tasks. Siriwardhana et al. (2023) extended this with RAG-end2end, which fine-tunes all components including the knowledge base index for domain-specific adaptation — critical for legal and financial terminology in SEBI filings. Li et al. (2025) provide a comprehensive systematic review categorizing RAG into Naive, Advanced, and Modular paradigms, identifying agentic RAG and self-correction loops as emerging trends.</w:t>
      </w:r>
    </w:p>
    <w:p w:rsidR="00000000" w:rsidDel="00000000" w:rsidP="00000000" w:rsidRDefault="00000000" w:rsidRPr="00000000" w14:paraId="0000002D">
      <w:pPr>
        <w:pStyle w:val="Heading2"/>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Financial Document Understanding</w:t>
      </w:r>
    </w:p>
    <w:p w:rsidR="00000000" w:rsidDel="00000000" w:rsidP="00000000" w:rsidRDefault="00000000" w:rsidRPr="00000000" w14:paraId="0000002F">
      <w:pPr>
        <w:spacing w:after="16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Chen et al. (2021) introduced FinQA, a benchmark requiring multi-step numerical reasoning over financial tables, highlighting the need for specialized modules to handle arithmetic in documents. Zhu et al. (2021) proposed TAT-QA for hybrid reasoning over tabular and textual content, directly applicable to IPO prospectuses where footnotes in financial tables must be interpreted alongside narrative text. DocFinQA (Chen et al., 2024) addresses 'evidence sparsity' in 100k+ token filings, while HierFinRAG (Li et al., 2025) demonstrates accuracy improvements through hierarchical structural awareness in financial RAG.</w:t>
      </w:r>
    </w:p>
    <w:p w:rsidR="00000000" w:rsidDel="00000000" w:rsidP="00000000" w:rsidRDefault="00000000" w:rsidRPr="00000000" w14:paraId="00000031">
      <w:pPr>
        <w:pStyle w:val="Heading2"/>
        <w:spacing w:line="27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pStyle w:val="Heading2"/>
        <w:spacing w:line="276"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33">
      <w:pPr>
        <w:pStyle w:val="Heading2"/>
        <w:spacing w:line="276"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34">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Embedding Models for Domain-Specific Retrieval</w:t>
      </w:r>
    </w:p>
    <w:p w:rsidR="00000000" w:rsidDel="00000000" w:rsidP="00000000" w:rsidRDefault="00000000" w:rsidRPr="00000000" w14:paraId="00000035">
      <w:pPr>
        <w:spacing w:after="16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BGE family of embedding models (Xiao et al., 2023) — trained via RetroMAE pre-training and large-scale contrastive learning — forms the retrieval backbone of the system. Lombardo et al. (2020) demonstrate fine-tuning transformer-based models on SEC financial filings via LLM distillation, providing a template for adapting bge-large to the Indian regulatory context. The BGE-M3 variant (Chen et al., 2024) further extends support to long-context and multi-lingual inputs, relevant for IPO documents containing region-specific terminology.</w:t>
      </w:r>
    </w:p>
    <w:p w:rsidR="00000000" w:rsidDel="00000000" w:rsidP="00000000" w:rsidRDefault="00000000" w:rsidRPr="00000000" w14:paraId="00000037">
      <w:pPr>
        <w:pStyle w:val="Heading2"/>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Long-Document Handling</w:t>
      </w:r>
    </w:p>
    <w:p w:rsidR="00000000" w:rsidDel="00000000" w:rsidP="00000000" w:rsidRDefault="00000000" w:rsidRPr="00000000" w14:paraId="00000039">
      <w:pPr>
        <w:spacing w:after="16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Liu et al. (2023) identify the 'Lost in the Middle' phenomenon, wherein LLM performance degrades for information positioned centrally in long input sequences — a major challenge for 500-page prospectuses. HiChunk (Lu et al., 2025) validates hierarchical chunking with an Auto-Merge retrieval algorithm, while FinGEAR (Zhang et al., 2025) introduces Summary and Question Trees for structural navigation of financial documents. MultiDocFusion (Gao et al., 2025) demonstrates 8–15% improvements in retrieval precision by explicitly leveraging document layout information.</w:t>
      </w:r>
    </w:p>
    <w:p w:rsidR="00000000" w:rsidDel="00000000" w:rsidP="00000000" w:rsidRDefault="00000000" w:rsidRPr="00000000" w14:paraId="0000003B">
      <w:pPr>
        <w:pStyle w:val="Heading2"/>
        <w:spacing w:line="276"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3C">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Vector Database Design and ANN Search</w:t>
      </w:r>
    </w:p>
    <w:p w:rsidR="00000000" w:rsidDel="00000000" w:rsidP="00000000" w:rsidRDefault="00000000" w:rsidRPr="00000000" w14:paraId="0000003D">
      <w:pPr>
        <w:spacing w:after="16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Malkov &amp; Yashunin (2018) describe the Hierarchical Navigable Small World (HNSW) algorithm underlying Qdrant's retrieval layer. ACORN (Patel et al., 2024) addresses connectivity breakdown in filtered vector search via predicate subgraph traversal, enabling metadata-constrained queries (e.g., limiting search to Main Board IPOs). Li et al. (2025) propose information-theoretic binarization to reduce memory overhead — critical for local hardware deployments.</w:t>
      </w:r>
    </w:p>
    <w:p w:rsidR="00000000" w:rsidDel="00000000" w:rsidP="00000000" w:rsidRDefault="00000000" w:rsidRPr="00000000" w14:paraId="0000003F">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LLM-Based QA and Hallucination Mitigation</w:t>
      </w:r>
    </w:p>
    <w:p w:rsidR="00000000" w:rsidDel="00000000" w:rsidP="00000000" w:rsidRDefault="00000000" w:rsidRPr="00000000" w14:paraId="00000040">
      <w:pPr>
        <w:spacing w:after="16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Jiang et al. (2023) describe the Mistral 7B architecture, leveraging Grouped-Query Attention and Sliding Window Attention for efficient local inference. Es et al. (2023) introduce the RAGAS framework, defining metrics of Faithfulness, Answer Relevance, and Context Precision for RAG evaluation. Li et al. (2025) survey hallucination types and mitigation strategies, while Zheng et al. (2025) introduce CausalRAG, using causal graphs to improve contextual continuity in financial reasoning.</w:t>
      </w:r>
    </w:p>
    <w:p w:rsidR="00000000" w:rsidDel="00000000" w:rsidP="00000000" w:rsidRDefault="00000000" w:rsidRPr="00000000" w14:paraId="00000042">
      <w:pPr>
        <w:pStyle w:val="Heading1"/>
        <w:spacing w:line="276" w:lineRule="auto"/>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043">
      <w:pPr>
        <w:pStyle w:val="Heading1"/>
        <w:spacing w:line="276" w:lineRule="auto"/>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3. Problem Statement</w:t>
      </w:r>
    </w:p>
    <w:p w:rsidR="00000000" w:rsidDel="00000000" w:rsidP="00000000" w:rsidRDefault="00000000" w:rsidRPr="00000000" w14:paraId="0000004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Indian IPO prospectuses, mandated by SEBI, routinely exceed 500 pages and contain a heterogeneous mixture of narrative disclosures, financial statements, legal clauses, and risk factors. Manually analyzing these documents for regulatory compliance, investment due diligence, or comparative study is both time-intensive and error-prone.</w:t>
      </w:r>
    </w:p>
    <w:p w:rsidR="00000000" w:rsidDel="00000000" w:rsidP="00000000" w:rsidRDefault="00000000" w:rsidRPr="00000000" w14:paraId="00000045">
      <w:pPr>
        <w:spacing w:after="16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Existing general-purpose LLMs are ill-suited for this task due to three key limitations: (1) Static knowledge cutoffs that prevent access to private or recent filings; (2) A tendency to hallucinate — generating plausible but factually incorrect financial data; and (3) Inability to process documents exceeding their context window limits without structured chunking strategies.</w:t>
      </w:r>
    </w:p>
    <w:p w:rsidR="00000000" w:rsidDel="00000000" w:rsidP="00000000" w:rsidRDefault="00000000" w:rsidRPr="00000000" w14:paraId="00000047">
      <w:pPr>
        <w:spacing w:after="16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Furthermore, the specialized vocabulary of Indian regulatory filings — terms such as 'book-building process,' 'objects of the issue,' 'basis of allotment,' and 'anchor investor' — is underrepresented in general-purpose embedding spaces, reducing retrieval accuracy. The 'Lost in the Middle' bias in LLMs compounds this problem, causing critical information in the body of long documents to be overlooked.</w:t>
      </w:r>
    </w:p>
    <w:p w:rsidR="00000000" w:rsidDel="00000000" w:rsidP="00000000" w:rsidRDefault="00000000" w:rsidRPr="00000000" w14:paraId="0000004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therefore a critical need for a domain-adapted, hallucination-mitigated, and scalable RAG system capable of accurately parsing, retrieving, and synthesizing information from Indian IPO prospectuses for both regulatory and investment purposes.</w:t>
      </w:r>
    </w:p>
    <w:p w:rsidR="00000000" w:rsidDel="00000000" w:rsidP="00000000" w:rsidRDefault="00000000" w:rsidRPr="00000000" w14:paraId="0000004A">
      <w:pPr>
        <w:pStyle w:val="Heading1"/>
        <w:spacing w:line="276" w:lineRule="auto"/>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04B">
      <w:pPr>
        <w:pStyle w:val="Heading1"/>
        <w:spacing w:line="276" w:lineRule="auto"/>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4. Objectives</w:t>
      </w:r>
    </w:p>
    <w:p w:rsidR="00000000" w:rsidDel="00000000" w:rsidP="00000000" w:rsidRDefault="00000000" w:rsidRPr="00000000" w14:paraId="0000004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objectives of this project are: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design and implement a hierarchical chunking pipeline that preserves the structural integrity of SEBI-mandated IPO prospectuses, including parent-child relationships between document sections and financial tables.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build and optimize a dense vector retrieval system using BAAI/bge-large embeddings and a Qdrant vector database with HNSW indexing, capable of handling a corpus of 500+ large financial documents.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integrate a locally-hosted Mistral 7B language model as the generative component, ensuring data privacy and cost-efficiency compared to proprietary API-based solutions.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mitigate hallucination by grounding LLM outputs in verified SEBI documents, implementing prompt engineering strategies that encourage citation of specific sections and figures.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evaluate system performance against established benchmarks — FinQA, TAT-QA, DocFinQA, and RAGAS — measuring retrieval accuracy (Hit Rate, MRR), faithfulness, and answer relevance.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explore domain adaptation of the bge-large embedding model via contrastive fine-tuning on SEBI corpus data, improving semantic alignment for Indian regulatory terminology.</w:t>
      </w:r>
    </w:p>
    <w:p w:rsidR="00000000" w:rsidDel="00000000" w:rsidP="00000000" w:rsidRDefault="00000000" w:rsidRPr="00000000" w14:paraId="00000053">
      <w:pPr>
        <w:pStyle w:val="Heading1"/>
        <w:spacing w:line="276" w:lineRule="auto"/>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054">
      <w:pPr>
        <w:pStyle w:val="Heading1"/>
        <w:spacing w:line="276" w:lineRule="auto"/>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055">
      <w:pPr>
        <w:pStyle w:val="Heading1"/>
        <w:spacing w:line="276" w:lineRule="auto"/>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5. Methodology</w:t>
      </w:r>
    </w:p>
    <w:p w:rsidR="00000000" w:rsidDel="00000000" w:rsidP="00000000" w:rsidRDefault="00000000" w:rsidRPr="00000000" w14:paraId="0000005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follows a modular, six-stage pipeline:</w:t>
      </w:r>
    </w:p>
    <w:p w:rsidR="00000000" w:rsidDel="00000000" w:rsidP="00000000" w:rsidRDefault="00000000" w:rsidRPr="00000000" w14:paraId="00000057">
      <w:pPr>
        <w:pStyle w:val="Heading2"/>
        <w:spacing w:line="276"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58">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Stage 1: Document Ingestion and PDF Parsing</w:t>
      </w:r>
    </w:p>
    <w:p w:rsidR="00000000" w:rsidDel="00000000" w:rsidP="00000000" w:rsidRDefault="00000000" w:rsidRPr="00000000" w14:paraId="0000005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IPO prospectuses in PDF format are ingested and parsed using structure-aware tools to extract not only raw text but also visual layout information (font sizes, headers, table boundaries). This preserves the SEBI-mandated document hierarchy — distinguishing, for example, a 'Business Overview' in the main body from a similar summary in the 'Basis for Issue Price' section.</w:t>
      </w:r>
    </w:p>
    <w:p w:rsidR="00000000" w:rsidDel="00000000" w:rsidP="00000000" w:rsidRDefault="00000000" w:rsidRPr="00000000" w14:paraId="0000005A">
      <w:pPr>
        <w:pStyle w:val="Heading2"/>
        <w:spacing w:line="276"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5B">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Stage 2: Hierarchical Chunking</w:t>
      </w:r>
    </w:p>
    <w:p w:rsidR="00000000" w:rsidDel="00000000" w:rsidP="00000000" w:rsidRDefault="00000000" w:rsidRPr="00000000" w14:paraId="0000005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Documents are segmented using a hierarchical chunking strategy informed by the HiChunk Auto-Merge framework. Small semantic units (child chunks) are stored for precise retrieval, while their larger parent sections are fed to the LLM for context-rich generation. Chunk boundaries are determined by topic transitions (semantic chunking) rather than fixed token counts, ensuring that multi-paragraph risk disclosures are not fragmented.</w:t>
      </w:r>
    </w:p>
    <w:p w:rsidR="00000000" w:rsidDel="00000000" w:rsidP="00000000" w:rsidRDefault="00000000" w:rsidRPr="00000000" w14:paraId="0000005D">
      <w:pPr>
        <w:pStyle w:val="Heading2"/>
        <w:spacing w:line="276"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5E">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Stage 3: Embedding and Indexing</w:t>
      </w:r>
    </w:p>
    <w:p w:rsidR="00000000" w:rsidDel="00000000" w:rsidP="00000000" w:rsidRDefault="00000000" w:rsidRPr="00000000" w14:paraId="0000005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Chunks are encoded into 1024-dimensional dense vectors using the BAAI/bge-large-en-v1.5 model. Vectors are indexed in a Qdrant vector database using HNSW with tuned parameters (M and ef_construction) calibrated for a corpus of 100,000+ chunks. Metadata filters (company name, fiscal year, IPO type) are integrated using ACORN-style predicate subgraph traversal to enable constrained searches without sacrificing recall.</w:t>
      </w:r>
    </w:p>
    <w:p w:rsidR="00000000" w:rsidDel="00000000" w:rsidP="00000000" w:rsidRDefault="00000000" w:rsidRPr="00000000" w14:paraId="00000060">
      <w:pPr>
        <w:pStyle w:val="Heading2"/>
        <w:spacing w:line="276"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1">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Stage 4: Retrieval</w:t>
      </w:r>
    </w:p>
    <w:p w:rsidR="00000000" w:rsidDel="00000000" w:rsidP="00000000" w:rsidRDefault="00000000" w:rsidRPr="00000000" w14:paraId="0000006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Queries undergo pre-retrieval rewriting to decompose complex financial questions. A hybrid retrieval strategy combines dense bge-large similarity search with sparse BM25 keyword matching, improving recall for exact financial terms (e.g., specific SEBI regulation numbers). Retrieved chunks are then re-ranked using a cross-encoder, with the most relevant chunks placed at the primacy and recency positions of the prompt to counteract the 'Lost in the Middle' effect.</w:t>
      </w:r>
    </w:p>
    <w:p w:rsidR="00000000" w:rsidDel="00000000" w:rsidP="00000000" w:rsidRDefault="00000000" w:rsidRPr="00000000" w14:paraId="00000063">
      <w:pPr>
        <w:pStyle w:val="Heading2"/>
        <w:spacing w:line="276"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4">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Stage 5: Generation</w:t>
      </w:r>
    </w:p>
    <w:p w:rsidR="00000000" w:rsidDel="00000000" w:rsidP="00000000" w:rsidRDefault="00000000" w:rsidRPr="00000000" w14:paraId="0000006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locally-hosted Mistral 7B model receives a structured prompt containing the re-ranked retrieved chunks, query context, and explicit instructions to cite specific sections of the prospectus. Prompt engineering incorporates Chain-of-Thought (CoT) reasoning for numerical consistency checks, reducing logic-based hallucinations in financial calculations such as EBITDA margins or debt-to-equity ratios.</w:t>
      </w:r>
    </w:p>
    <w:p w:rsidR="00000000" w:rsidDel="00000000" w:rsidP="00000000" w:rsidRDefault="00000000" w:rsidRPr="00000000" w14:paraId="00000066">
      <w:pPr>
        <w:pStyle w:val="Heading2"/>
        <w:spacing w:line="276"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7">
      <w:pPr>
        <w:pStyle w:val="Heading2"/>
        <w:spacing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Stage 6: Evaluation</w:t>
      </w:r>
    </w:p>
    <w:p w:rsidR="00000000" w:rsidDel="00000000" w:rsidP="00000000" w:rsidRDefault="00000000" w:rsidRPr="00000000" w14:paraId="0000006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performance is evaluated using the RAGAS framework across three dimensions: Faithfulness (are generated claims grounded in retrieved context?), Answer Relevance (does the response address the query?), and Context Precision (did the retriever surface the right chunks?). Retrieval quality is benchmarked against FinQA, TAT-QA, and DocFinQA datasets, with Recall@K measured against a Flat Search baseline to detect index degradation as the corpus scales.</w:t>
      </w:r>
    </w:p>
    <w:p w:rsidR="00000000" w:rsidDel="00000000" w:rsidP="00000000" w:rsidRDefault="00000000" w:rsidRPr="00000000" w14:paraId="00000069">
      <w:pPr>
        <w:pStyle w:val="Heading1"/>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6C">
      <w:pPr>
        <w:pStyle w:val="Heading1"/>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6. References</w:t>
      </w:r>
    </w:p>
    <w:p w:rsidR="00000000" w:rsidDel="00000000" w:rsidP="00000000" w:rsidRDefault="00000000" w:rsidRPr="00000000" w14:paraId="0000006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Lewis, P., et al. (2020). Retrieval-Augmented Generation for Knowledge-Intensive NLP Tasks. NeurIPS.</w:t>
      </w:r>
    </w:p>
    <w:p w:rsidR="00000000" w:rsidDel="00000000" w:rsidP="00000000" w:rsidRDefault="00000000" w:rsidRPr="00000000" w14:paraId="0000006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Siriwardhana, S., et al. (2023). RAG-end2end: An Extension to RAG for Domain-Specific Adaptation. TACL.</w:t>
      </w:r>
    </w:p>
    <w:p w:rsidR="00000000" w:rsidDel="00000000" w:rsidP="00000000" w:rsidRDefault="00000000" w:rsidRPr="00000000" w14:paraId="0000006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 Z., et al. (2025). Retrieval-Augmented Generation: A Comprehensive Systematic Review. arXiv.</w:t>
      </w:r>
    </w:p>
    <w:p w:rsidR="00000000" w:rsidDel="00000000" w:rsidP="00000000" w:rsidRDefault="00000000" w:rsidRPr="00000000" w14:paraId="0000007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Chen, Z., et al. (2021). FinQA: A Dataset of Numerical Reasoning over Financial Data. EMNLP.</w:t>
      </w:r>
    </w:p>
    <w:p w:rsidR="00000000" w:rsidDel="00000000" w:rsidP="00000000" w:rsidRDefault="00000000" w:rsidRPr="00000000" w14:paraId="0000007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Zhu, F., et al. (2021). TAT-QA: A Question Answering Benchmark on a Hybrid of Tabular and Textual Content. ACL.</w:t>
      </w:r>
    </w:p>
    <w:p w:rsidR="00000000" w:rsidDel="00000000" w:rsidP="00000000" w:rsidRDefault="00000000" w:rsidRPr="00000000" w14:paraId="0000007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Chen, Z., et al. (2024). DocFinQA: A Long-Context Financial Reasoning Dataset. arXiv.</w:t>
      </w:r>
    </w:p>
    <w:p w:rsidR="00000000" w:rsidDel="00000000" w:rsidP="00000000" w:rsidRDefault="00000000" w:rsidRPr="00000000" w14:paraId="0000007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 Y., et al. (2025). HierFinRAG: A Hierarchical Multimodal Framework for Financial RAG. Preprint.</w:t>
      </w:r>
    </w:p>
    <w:p w:rsidR="00000000" w:rsidDel="00000000" w:rsidP="00000000" w:rsidRDefault="00000000" w:rsidRPr="00000000" w14:paraId="0000007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Xiao, S., et al. (2023). C-Pack: Packed Resources For General Chinese Embeddings (BGE). arXiv.</w:t>
      </w:r>
    </w:p>
    <w:p w:rsidR="00000000" w:rsidDel="00000000" w:rsidP="00000000" w:rsidRDefault="00000000" w:rsidRPr="00000000" w14:paraId="0000007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Lombardo, G., et al. (2020). Adaptation of Embedding Models to Financial Filings Via LLM Distillation. ResearchGate.</w:t>
      </w:r>
    </w:p>
    <w:p w:rsidR="00000000" w:rsidDel="00000000" w:rsidP="00000000" w:rsidRDefault="00000000" w:rsidRPr="00000000" w14:paraId="0000007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Chen, J., et al. (2024). BGE-M3: Multi-Functionality, Multi-Linguality, and Multi-Granularity. BAAI.</w:t>
      </w:r>
    </w:p>
    <w:p w:rsidR="00000000" w:rsidDel="00000000" w:rsidP="00000000" w:rsidRDefault="00000000" w:rsidRPr="00000000" w14:paraId="0000007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Liu, N.F., et al. (2023). Lost in the Middle: How Language Models Use Long Contexts. TACL.</w:t>
      </w:r>
    </w:p>
    <w:p w:rsidR="00000000" w:rsidDel="00000000" w:rsidP="00000000" w:rsidRDefault="00000000" w:rsidRPr="00000000" w14:paraId="0000007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 K., et al. (2025). HiChunk: Evaluating and Enhancing Retrieval-Augmented Generation with Hierarchical Chunking. arXiv.</w:t>
      </w:r>
    </w:p>
    <w:p w:rsidR="00000000" w:rsidDel="00000000" w:rsidP="00000000" w:rsidRDefault="00000000" w:rsidRPr="00000000" w14:paraId="0000007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Zhang, Y., et al. (2025). FinGEAR: Hierarchical Alignment for Financial Document Retrieval. arXiv.</w:t>
      </w:r>
    </w:p>
    <w:p w:rsidR="00000000" w:rsidDel="00000000" w:rsidP="00000000" w:rsidRDefault="00000000" w:rsidRPr="00000000" w14:paraId="0000007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Gao, X., et al. (2025). MultiDocFusion: Multimodal Document Structure Fusion for Long Documents. EMNLP.</w:t>
      </w:r>
    </w:p>
    <w:p w:rsidR="00000000" w:rsidDel="00000000" w:rsidP="00000000" w:rsidRDefault="00000000" w:rsidRPr="00000000" w14:paraId="0000007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Malkov, Y.A., &amp; Yashunin, D.A. (2018). Efficient and Robust Approximate Nearest Neighbor Search using HNSW. TPAMI.</w:t>
      </w:r>
    </w:p>
    <w:p w:rsidR="00000000" w:rsidDel="00000000" w:rsidP="00000000" w:rsidRDefault="00000000" w:rsidRPr="00000000" w14:paraId="0000007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Patel, P., et al. (2024). ACORN: Performant and Predicate-Agnostic Search Over Vector Embeddings. SIGMOD.</w:t>
      </w:r>
    </w:p>
    <w:p w:rsidR="00000000" w:rsidDel="00000000" w:rsidP="00000000" w:rsidRDefault="00000000" w:rsidRPr="00000000" w14:paraId="0000007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Jiang, A., et al. (2023). Mistral 7B. arXiv.</w:t>
      </w:r>
    </w:p>
    <w:p w:rsidR="00000000" w:rsidDel="00000000" w:rsidP="00000000" w:rsidRDefault="00000000" w:rsidRPr="00000000" w14:paraId="0000007E">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S., et al. (2023). Ragas: Automated Evaluation of Retrieval Augmented Generation. arXiv.</w:t>
      </w:r>
    </w:p>
    <w:p w:rsidR="00000000" w:rsidDel="00000000" w:rsidP="00000000" w:rsidRDefault="00000000" w:rsidRPr="00000000" w14:paraId="0000007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 J., et al. (2025). Mitigating Hallucination in Large Language Models: An Application-Oriented Survey. arXiv.</w:t>
      </w:r>
    </w:p>
    <w:p w:rsidR="00000000" w:rsidDel="00000000" w:rsidP="00000000" w:rsidRDefault="00000000" w:rsidRPr="00000000" w14:paraId="0000008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Zheng, C., et al. (2025). CausalRAG: Incorporating Causal Graphs into Retrieval. arXiv.</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