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MEMORANDUM</w:t>
      </w:r>
    </w:p>
    <w:p>
      <w:pPr/>
      <w:r>
        <w:rPr>
          <w:b/>
        </w:rPr>
        <w:t xml:space="preserve">TO:</w:t>
      </w:r>
      <w:r>
        <w:t xml:space="preserve"> </w:t>
      </w:r>
      <w:commentRangeStart w:id="0"/>
      <w:r>
        <w:rPr>
          <w:highlight w:val="yellow"/>
        </w:rPr>
        <w:t>Senior Leadership Team</w:t>
      </w:r>
      <w:commentRangeEnd w:id="0"/>
      <w:r>
        <w:rPr>
          <w:rStyle w:val="CommentReference"/>
        </w:rPr>
        <w:commentReference w:id="0"/>
      </w:r>
    </w:p>
    <w:p>
      <w:pPr/>
      <w:r>
        <w:rPr>
          <w:b/>
        </w:rPr>
        <w:t xml:space="preserve">FROM:</w:t>
      </w:r>
      <w:r>
        <w:t xml:space="preserve"> Alfredo Korbut, Manager</w:t>
      </w:r>
    </w:p>
    <w:p>
      <w:pPr/>
      <w:r>
        <w:rPr>
          <w:b/>
        </w:rPr>
        <w:t xml:space="preserve">DATE:</w:t>
      </w:r>
      <w:r>
        <w:t xml:space="preserve"> September 24, 2026</w:t>
      </w:r>
    </w:p>
    <w:p>
      <w:pPr/>
      <w:r>
        <w:rPr>
          <w:b/>
        </w:rPr>
        <w:t xml:space="preserve">SUBJECT:</w:t>
      </w:r>
      <w:r>
        <w:t xml:space="preserve"> U.S. Avocado Market Trends, January–August 2026</w:t>
      </w:r>
    </w:p>
    <w:p>
      <w:pPr>
        <w:pBdr>
          <w:bottom w:val="single" w:sz="6" w:space="1" w:color="auto"/>
        </w:pBdr>
      </w:pPr>
    </w:p>
    <w:p>
      <w:pPr/>
      <w:r>
        <w:t xml:space="preserve">This memo summarizes U.S. avocado retail trends for the first 32 weeks of 2026 compared with the same period of 2025. The market is selling more fruit for less money: units rose 13.6%, but the average price fell 19%, so retail dollars declined 8%.</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Total U.S., weeks 1–32</w:t>
            </w:r>
          </w:p>
        </w:tc>
        <w:tc>
          <w:tcPr>
            <w:tcW w:w="2340" w:type="dxa"/>
            <w:shd w:val="clear" w:color="auto" w:fill="F2F2F2"/>
          </w:tcPr>
          <w:p>
            <w:pPr/>
            <w:r>
              <w:t xml:space="preserve">2025</w:t>
            </w:r>
          </w:p>
        </w:tc>
        <w:tc>
          <w:tcPr>
            <w:tcW w:w="2340" w:type="dxa"/>
            <w:shd w:val="clear" w:color="auto" w:fill="F2F2F2"/>
          </w:tcPr>
          <w:p>
            <w:pPr/>
            <w:r>
              <w:t xml:space="preserve">2026</w:t>
            </w:r>
          </w:p>
        </w:tc>
        <w:tc>
          <w:tcPr>
            <w:tcW w:w="2340" w:type="dxa"/>
            <w:shd w:val="clear" w:color="auto" w:fill="F2F2F2"/>
          </w:tcPr>
          <w:p>
            <w:pPr/>
            <w:r>
              <w:t xml:space="preserve">Change</w:t>
            </w:r>
          </w:p>
        </w:tc>
      </w:tr>
      <w:tr>
        <w:tc>
          <w:tcPr>
            <w:tcW w:w="2340" w:type="dxa"/>
          </w:tcPr>
          <w:p>
            <w:pPr/>
            <w:r>
              <w:t xml:space="preserve">Units sold (millions)</w:t>
            </w:r>
          </w:p>
        </w:tc>
        <w:tc>
          <w:tcPr>
            <w:tcW w:w="2340" w:type="dxa"/>
          </w:tcPr>
          <w:p>
            <w:pPr/>
            <w:r>
              <w:t xml:space="preserve">1,871</w:t>
            </w:r>
          </w:p>
        </w:tc>
        <w:tc>
          <w:tcPr>
            <w:tcW w:w="2340" w:type="dxa"/>
          </w:tcPr>
          <w:p>
            <w:pPr/>
            <w:r>
              <w:t xml:space="preserve">2,126</w:t>
            </w:r>
          </w:p>
        </w:tc>
        <w:tc>
          <w:tcPr>
            <w:tcW w:w="2340" w:type="dxa"/>
          </w:tcPr>
          <w:p>
            <w:pPr/>
            <w:r>
              <w:t xml:space="preserve">+13.6%</w:t>
            </w:r>
          </w:p>
        </w:tc>
      </w:tr>
      <w:tr>
        <w:tc>
          <w:tcPr>
            <w:tcW w:w="2340" w:type="dxa"/>
          </w:tcPr>
          <w:p>
            <w:pPr/>
            <w:r>
              <w:t xml:space="preserve">Average selling price</w:t>
            </w:r>
          </w:p>
        </w:tc>
        <w:tc>
          <w:tcPr>
            <w:tcW w:w="2340" w:type="dxa"/>
          </w:tcPr>
          <w:p>
            <w:pPr/>
            <w:r>
              <w:t xml:space="preserve">$1.25</w:t>
            </w:r>
          </w:p>
        </w:tc>
        <w:tc>
          <w:tcPr>
            <w:tcW w:w="2340" w:type="dxa"/>
          </w:tcPr>
          <w:p>
            <w:pPr/>
            <w:r>
              <w:t xml:space="preserve">$1.01</w:t>
            </w:r>
          </w:p>
        </w:tc>
        <w:tc>
          <w:tcPr>
            <w:tcW w:w="2340" w:type="dxa"/>
          </w:tcPr>
          <w:p>
            <w:pPr/>
            <w:r>
              <w:t xml:space="preserve">−19%</w:t>
            </w:r>
          </w:p>
        </w:tc>
      </w:tr>
      <w:tr>
        <w:tc>
          <w:tcPr>
            <w:tcW w:w="2340" w:type="dxa"/>
          </w:tcPr>
          <w:p>
            <w:pPr/>
            <w:r>
              <w:t xml:space="preserve">Retail dollars (millions)</w:t>
            </w:r>
          </w:p>
        </w:tc>
        <w:tc>
          <w:tcPr>
            <w:tcW w:w="2340" w:type="dxa"/>
          </w:tcPr>
          <w:p>
            <w:pPr/>
            <w:r>
              <w:t xml:space="preserve">$2,329</w:t>
            </w:r>
          </w:p>
        </w:tc>
        <w:tc>
          <w:tcPr>
            <w:tcW w:w="2340" w:type="dxa"/>
          </w:tcPr>
          <w:p>
            <w:pPr/>
            <w:r>
              <w:t xml:space="preserve">$2,143</w:t>
            </w:r>
          </w:p>
        </w:tc>
        <w:tc>
          <w:tcPr>
            <w:tcW w:w="2340" w:type="dxa"/>
          </w:tcPr>
          <w:p>
            <w:pPr/>
            <w:r>
              <w:t xml:space="preserve">−8.0%</w:t>
            </w:r>
          </w:p>
        </w:tc>
      </w:tr>
    </w:tbl>
    <w:p>
      <w:pPr>
        <w:pStyle w:val="Heading2"/>
      </w:pPr>
      <w:r>
        <w:t xml:space="preserve">Key Findings</w:t>
      </w:r>
    </w:p>
    <w:p>
      <w:pPr/>
      <w:r>
        <w:rPr>
          <w:b/>
        </w:rPr>
        <w:t xml:space="preserve">Prices moved in two phases.</w:t>
      </w:r>
      <w:r>
        <w:t xml:space="preserve"> Conventional avocados sold for </w:t>
      </w:r>
      <w:commentRangeStart w:id="1"/>
      <w:r>
        <w:rPr>
          <w:highlight w:val="red"/>
        </w:rPr>
        <w:t>about $0.90</w:t>
      </w:r>
      <w:commentRangeEnd w:id="1"/>
      <w:r>
        <w:rPr>
          <w:rStyle w:val="CommentReference"/>
        </w:rPr>
        <w:commentReference w:id="1"/>
      </w:r>
      <w:r>
        <w:t xml:space="preserve"> from January to May, </w:t>
      </w:r>
      <w:commentRangeStart w:id="2"/>
      <w:r>
        <w:rPr>
          <w:highlight w:val="yellow"/>
        </w:rPr>
        <w:t>25% below 2025</w:t>
      </w:r>
      <w:commentRangeEnd w:id="2"/>
      <w:r>
        <w:rPr>
          <w:rStyle w:val="CommentReference"/>
        </w:rPr>
        <w:commentReference w:id="2"/>
      </w:r>
      <w:r>
        <w:t xml:space="preserve">. </w:t>
      </w:r>
      <w:commentRangeStart w:id="3"/>
      <w:r>
        <w:rPr>
          <w:highlight w:val="yellow"/>
        </w:rPr>
        <w:t>A June supply squeeze</w:t>
      </w:r>
      <w:commentRangeEnd w:id="3"/>
      <w:r>
        <w:rPr>
          <w:rStyle w:val="CommentReference"/>
        </w:rPr>
        <w:commentReference w:id="3"/>
      </w:r>
      <w:r>
        <w:t xml:space="preserve"> lifted prices to $1.19, and they have since eased to about $1.06. The low-price trend began in late 2025.</w:t>
      </w:r>
    </w:p>
    <w:p>
      <w:pPr/>
      <w:r>
        <w:rPr>
          <w:b/>
        </w:rPr>
        <w:t xml:space="preserve">Organic is losing ground.</w:t>
      </w:r>
      <w:r>
        <w:t xml:space="preserve"> Conventional units grew 14.5%, while organic volume was flat and organic dollars fell 11%. The organic price premium widened from 43% to 59%, and organic's share of units slipped from 5.7% to 4.9%.</w:t>
      </w:r>
    </w:p>
    <w:p>
      <w:pPr/>
      <w:r>
        <w:rPr>
          <w:b/>
        </w:rPr>
        <w:t xml:space="preserve">Shoppers are trading up in size.</w:t>
      </w:r>
      <w:r>
        <w:t xml:space="preserve"> Small Hass fell from 48.5% to 43.5% of conventional units, while large and extra-large Hass gained share. Bagged fruit rose from 39.5% to </w:t>
      </w:r>
      <w:commentRangeStart w:id="4"/>
      <w:r>
        <w:rPr>
          <w:highlight w:val="red"/>
        </w:rPr>
        <w:t>41.3% of units</w:t>
      </w:r>
      <w:commentRangeEnd w:id="4"/>
      <w:r>
        <w:rPr>
          <w:rStyle w:val="CommentReference"/>
        </w:rPr>
        <w:commentReference w:id="4"/>
      </w:r>
      <w:r>
        <w:t>.</w:t>
      </w:r>
    </w:p>
    <w:p>
      <w:pPr/>
      <w:r>
        <w:rPr>
          <w:b/>
        </w:rPr>
        <w:t xml:space="preserve">Growth is uneven by region.</w:t>
      </w:r>
      <w:r>
        <w:t xml:space="preserve"> All eight regions grew in units but lost dollars. The Southeast led with 19.8% unit growth, </w:t>
      </w:r>
      <w:commentRangeStart w:id="5"/>
      <w:r>
        <w:rPr>
          <w:highlight w:val="red"/>
        </w:rPr>
        <w:t>driven by Miami, Orlando and Tampa</w:t>
      </w:r>
      <w:commentRangeEnd w:id="5"/>
      <w:r>
        <w:rPr>
          <w:rStyle w:val="CommentReference"/>
        </w:rPr>
        <w:commentReference w:id="5"/>
      </w:r>
      <w:r>
        <w:t>. The West grew only 7.0% and saw the largest dollar decline, at 13%.</w:t>
      </w:r>
    </w:p>
    <w:p>
      <w:pPr>
        <w:pStyle w:val="Heading2"/>
      </w:pPr>
      <w:r>
        <w:t xml:space="preserve">Outlook</w:t>
      </w:r>
    </w:p>
    <w:p>
      <w:pPr/>
      <w:commentRangeStart w:id="6"/>
      <w:r>
        <w:rPr>
          <w:highlight w:val="red"/>
        </w:rPr>
        <w:t>If 2026 follows last year's fall pattern, full-year units could exceed 3.3 billion</w:t>
      </w:r>
      <w:commentRangeEnd w:id="6"/>
      <w:r>
        <w:rPr>
          <w:rStyle w:val="CommentReference"/>
        </w:rPr>
        <w:commentReference w:id="6"/>
      </w:r>
      <w:r>
        <w:t xml:space="preserve">, versus 2.99 billion in 2025. Full-year dollars will likely still finish below 2025's $3.49 billion. Key risks are the holiday-season volume dip and </w:t>
      </w:r>
      <w:commentRangeStart w:id="7"/>
      <w:r>
        <w:rPr>
          <w:highlight w:val="yellow"/>
        </w:rPr>
        <w:t>a repeat of the early-summer supply squeeze</w:t>
      </w:r>
      <w:commentRangeEnd w:id="7"/>
      <w:r>
        <w:rPr>
          <w:rStyle w:val="CommentReference"/>
        </w:rPr>
        <w:commentReference w:id="7"/>
      </w:r>
      <w:r>
        <w:t>.</w:t>
      </w:r>
    </w:p>
    <w:p>
      <w:pPr>
        <w:pStyle w:val="Heading2"/>
      </w:pPr>
      <w:r>
        <w:t xml:space="preserve">Recommendations</w:t>
      </w:r>
    </w:p>
    <w:p>
      <w:pPr>
        <w:pStyle w:val="ListParagraph"/>
        <w:numPr>
          <w:ilvl w:val="0"/>
          <w:numId w:val="2"/>
        </w:numPr>
      </w:pPr>
      <w:r>
        <w:t xml:space="preserve">Track retail dollars and average price alongside units in weekly reporting.</w:t>
      </w:r>
    </w:p>
    <w:p>
      <w:pPr>
        <w:pStyle w:val="ListParagraph"/>
        <w:numPr>
          <w:ilvl w:val="0"/>
          <w:numId w:val="2"/>
        </w:numPr>
      </w:pPr>
      <w:r>
        <w:t xml:space="preserve">Expand promotion and shelf space for large, extra-large and bagged avocados.</w:t>
      </w:r>
    </w:p>
    <w:p>
      <w:pPr>
        <w:pStyle w:val="ListParagraph"/>
        <w:numPr>
          <w:ilvl w:val="0"/>
          <w:numId w:val="2"/>
        </w:numPr>
      </w:pPr>
      <w:r>
        <w:t xml:space="preserve">Test narrower organic price premiums in the Great Lakes and Midsouth, where organic volume fell most.</w:t>
      </w:r>
    </w:p>
    <w:p>
      <w:pPr>
        <w:pStyle w:val="ListParagraph"/>
        <w:numPr>
          <w:ilvl w:val="0"/>
          <w:numId w:val="2"/>
        </w:numPr>
      </w:pPr>
      <w:r>
        <w:t xml:space="preserve">Prioritize the Southeast, and set contingency sourcing plans for the </w:t>
      </w:r>
      <w:commentRangeStart w:id="8"/>
      <w:r>
        <w:rPr>
          <w:highlight w:val="yellow"/>
        </w:rPr>
        <w:t>May–July supply window</w:t>
      </w:r>
      <w:commentRangeEnd w:id="8"/>
      <w:r>
        <w:rPr>
          <w:rStyle w:val="CommentReference"/>
        </w:rPr>
        <w:commentReference w:id="8"/>
      </w:r>
      <w:r>
        <w:t>.</w:t>
      </w:r>
    </w:p>
    <w:p>
      <w:pPr/>
      <w:r>
        <w:t xml:space="preserve">Please contact me with any questions. Source: </w:t>
      </w:r>
      <w:commentRangeStart w:id="9"/>
      <w:r>
        <w:rPr>
          <w:highlight w:val="yellow"/>
        </w:rPr>
        <w:t>Hass Avocado Board weekly retail scan data</w:t>
      </w:r>
      <w:commentRangeEnd w:id="9"/>
      <w:r>
        <w:rPr>
          <w:rStyle w:val="CommentReference"/>
        </w:rPr>
        <w:commentReference w:id="9"/>
      </w:r>
      <w:r>
        <w:t xml:space="preserve"> through August 9, 2026; dollar figures are estimated as price × units.</w:t>
      </w:r>
    </w:p>
    <w:sectPr>
      <w:pgSz w:w="12240" w:h="15840"/>
      <w:pgMar w:top="1440" w:right="1440" w:bottom="1440" w:left="1440" w:header="720" w:footer="720" w:gutter="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w:initials="C" w:date="2026-09-25T08:44:07Z">
    <w:p>
      <w:pPr>
        <w:pStyle w:val="CommentText"/>
      </w:pPr>
      <w:r>
        <w:rPr>
          <w:rStyle w:val="CommentReference"/>
        </w:rPr>
        <w:annotationRef/>
      </w:r>
      <w:r>
        <w:t>Placeholder, not from you or the data. The recipient was never specified; replace with the real recipient.</w:t>
      </w:r>
    </w:p>
  </w:comment>
  <w:comment w:id="1" w:author="Claude" w:initials="C" w:date="2026-09-25T08:44:07Z">
    <w:p>
      <w:pPr>
        <w:pStyle w:val="CommentText"/>
      </w:pPr>
      <w:r>
        <w:rPr>
          <w:rStyle w:val="CommentReference"/>
        </w:rPr>
        <w:annotationRef/>
      </w:r>
      <w:r>
        <w:t>Imprecise. Weekly Jan–May conventional prices ranged $0.89–$0.99; the volume-weighted average was $0.93. Suggest: 'about $0.93'.</w:t>
      </w:r>
    </w:p>
  </w:comment>
  <w:comment w:id="2" w:author="Claude" w:initials="C" w:date="2026-09-25T08:44:07Z">
    <w:p>
      <w:pPr>
        <w:pStyle w:val="CommentText"/>
      </w:pPr>
      <w:r>
        <w:rPr>
          <w:rStyle w:val="CommentReference"/>
        </w:rPr>
        <w:annotationRef/>
      </w:r>
      <w:r>
        <w:t>Slightly overstated. $0.93 vs. $1.23 in Jan–May 2025 is about 24% lower.</w:t>
      </w:r>
    </w:p>
  </w:comment>
  <w:comment w:id="3" w:author="Claude" w:initials="C" w:date="2026-09-25T08:44:07Z">
    <w:p>
      <w:pPr>
        <w:pStyle w:val="CommentText"/>
      </w:pPr>
      <w:r>
        <w:rPr>
          <w:rStyle w:val="CommentReference"/>
        </w:rPr>
        <w:annotationRef/>
      </w:r>
      <w:r>
        <w:t>Inference, not in the data. The files contain no supply, import or harvest data. They only show volume growth shrinking while prices rose from late May ($0.99, wk 21) to $1.19 (wk 26). Suggest: 'In June, prices rose to $1.19 as volume fell below year-ago growth.'</w:t>
      </w:r>
    </w:p>
  </w:comment>
  <w:comment w:id="4" w:author="Claude" w:initials="C" w:date="2026-09-25T08:44:07Z">
    <w:p>
      <w:pPr>
        <w:pStyle w:val="CommentText"/>
      </w:pPr>
      <w:r>
        <w:rPr>
          <w:rStyle w:val="CommentReference"/>
        </w:rPr>
        <w:annotationRef/>
      </w:r>
      <w:r>
        <w:t>Mislabeled. 39.5% → 41.3% is the bagged share of CONVENTIONAL units only. For all avocados the bagged share rose from 41.8% to 43.3%.</w:t>
      </w:r>
    </w:p>
  </w:comment>
  <w:comment w:id="5" w:author="Claude" w:initials="C" w:date="2026-09-25T08:44:07Z">
    <w:p>
      <w:pPr>
        <w:pStyle w:val="CommentText"/>
      </w:pPr>
      <w:r>
        <w:rPr>
          <w:rStyle w:val="CommentReference"/>
        </w:rPr>
        <w:annotationRef/>
      </w:r>
      <w:r>
        <w:t>Incorrect. By added units, the top Southeast contributors were Miami (+12.2M), Atlanta (+6.7M) and Orlando (+6.5M). Tampa (+5.7M) was fourth. Suggest: 'led by Miami, Atlanta and Orlando.'</w:t>
      </w:r>
    </w:p>
  </w:comment>
  <w:comment w:id="6" w:author="Claude" w:initials="C" w:date="2026-09-25T08:44:07Z">
    <w:p>
      <w:pPr>
        <w:pStyle w:val="CommentText"/>
      </w:pPr>
      <w:r>
        <w:rPr>
          <w:rStyle w:val="CommentReference"/>
        </w:rPr>
        <w:annotationRef/>
      </w:r>
      <w:r>
        <w:t>Math doesn't match the stated assumption. Adding 2025's actual weeks 33–52 (1.12B) to 2026 YTD (2.13B) gives about 3.24B. Exceeding 3.3B (≈3.32B) requires the recent +7% year-over-year growth to continue. Suggest: 'If recent 7% growth continues, full-year units could reach about 3.3 billion.'</w:t>
      </w:r>
    </w:p>
  </w:comment>
  <w:comment w:id="7" w:author="Claude" w:initials="C" w:date="2026-09-25T08:44:07Z">
    <w:p>
      <w:pPr>
        <w:pStyle w:val="CommentText"/>
      </w:pPr>
      <w:r>
        <w:rPr>
          <w:rStyle w:val="CommentReference"/>
        </w:rPr>
        <w:annotationRef/>
      </w:r>
      <w:r>
        <w:t>Same inference as above — 'supply squeeze' is not shown by the data; only the price rise and volume slowdown are.</w:t>
      </w:r>
    </w:p>
  </w:comment>
  <w:comment w:id="8" w:author="Claude" w:initials="C" w:date="2026-09-25T08:44:07Z">
    <w:p>
      <w:pPr>
        <w:pStyle w:val="CommentText"/>
      </w:pPr>
      <w:r>
        <w:rPr>
          <w:rStyle w:val="CommentReference"/>
        </w:rPr>
        <w:annotationRef/>
      </w:r>
      <w:r>
        <w:t>Built on the 'supply squeeze' inference. The data shows a late-May to early-July price spike, not supply conditions.</w:t>
      </w:r>
    </w:p>
  </w:comment>
  <w:comment w:id="9" w:author="Claude" w:initials="C" w:date="2026-09-25T08:44:07Z">
    <w:p>
      <w:pPr>
        <w:pStyle w:val="CommentText"/>
      </w:pPr>
      <w:r>
        <w:rPr>
          <w:rStyle w:val="CommentReference"/>
        </w:rPr>
        <w:annotationRef/>
      </w:r>
      <w:r>
        <w:t>Partly assumed. 'HAB' in the file names suggests the Hass Avocado Board, and the data looks like retail sales, but the files themselves do not name the source or collection method. Please confirm before sending.</w:t>
      </w:r>
    </w:p>
  </w:comment>
</w:comme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comments" Target="comments.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MEMORANDUM</dc:title>
  <dc:description>Claude Docs node/348bca94-b2e4@6 docx-w6</dc:description>
  <cp:revision>6</cp:revision>
</cp:coreProperties>
</file>