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sdfsdf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مجرد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sdfsdf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sdfsdfsdf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معاف 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7575575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757575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خیر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dfgdfg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dfgdfg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ghjghm,nm,nm,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jkljkljkljkl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678678678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90686868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567567567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dfgdfg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dfgdfg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/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پاره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hjkhjkjkljk;kl;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kl;kl;k;kl;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خیر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خیر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hjkhjkhjkhjk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خیر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خیر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/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/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