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#00 Informe de avance y correcciones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revisión del grupo · Grupo 2 · AndiBite</w:t>
      </w:r>
    </w:p>
    <w:p>
      <w:pPr>
        <w:spacing w:after="120"/>
      </w:pPr>
      <w:r>
        <w:t xml:space="preserve">Fecha de corte: 19 de octubre de 2026. Este informe revisa lo que hay en la carpeta de Drive del grupo, verifica los datos con fuentes oficiales y propone correcciones amables, alineadas 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HECHOS_v7.md</w:t>
      </w:r>
      <w:r>
        <w:t xml:space="preserve"> y 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CLASE-sesion09.md</w:t>
      </w:r>
      <w:r>
        <w:t xml:space="preserve">. Todo lo marcado como [PROPUESTA] es una idea para que el grupo decida. Todo lo marcado como [POR CONFIRMAR] no se pudo verificar.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PESTEL: análisis del entorno político, económico, social, tecnológico, ambiental y legal. FODA: fortalezas, oportunidades, debilidades y amenazas. ODS: Objetivos de Desarrollo Sostenible de la ONU. INEI: Instituto Nacional de Estadística e Informática. ENDES: Encuesta Demográfica y de Salud Familiar, del INEI. ENAHO: Encuesta Nacional de Hogares. OMS: Organización Mundial de la Salud. MINSA: Ministerio de Salud. BCRP: Banco Central de Reserva del Perú. APEIM: Asociación Peruana de Empresas de Inteligencia de Mercados. DIGESA: Dirección General de Salud Ambiental. INDECOPI: Instituto Nacional de Defensa de la Competencia y de la Protección de la Propiedad Intelectual. REMYPE: registro de la micro y pequeña empresa. UIT: unidad impositiva tributaria. IGV: impuesto general a las ventas. D.S.: decreto supremo. RM: resolución ministerial. T1: primer trabajo del curso. QR: código que se lee con la cámara del celular. IA: inteligencia artificial.</w:t>
      </w:r>
    </w:p>
    <w:p>
      <w:pPr>
        <w:pStyle w:val="Heading1"/>
      </w:pPr>
      <w:r>
        <w:t xml:space="preserve">Resumen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Drive solo hay un trabajo para revisar: el PESTEL (#3) de Angie. Está bien armado: cubre las 6 dimensiones, tiene 19 variables y cada una tiene su evaluación.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dos datos con número son correctos. La inflación de 4.28 % es </w:t>
      </w:r>
      <w:r>
        <w:rPr>
          <w:b/>
          <w:bCs/>
        </w:rPr>
        <w:t xml:space="preserve">acumulada de enero a setiembre de 2026</w:t>
      </w:r>
      <w:r>
        <w:t xml:space="preserve">, no de los últimos 12 meses (esa fue de unos 4.5 %). El 82.7 % de hogares limeños con internet es del primer trimestre de 2026 y es correcto.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que le falta al PESTEL es respaldo: 17 de 19 variables no tienen ningún dato. En este informe hay un dato con fuente para cada una.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Hay cuatro choques con HECHOS_v7 que conviene corregir: la cañihua en todos los sabores, la venta digital como si fuera el canal principal, el octógono como amenaza segura y el apoyo escolar como oportunidad sin condición.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Hay un punto que el PESTEL no nombra: la meta "sin octógono" depende de la receta reformulada. Con eritritol, la T1 calcula de 4.6 a 7.1 g de azúcar por 100 g, bajo el límite de 10 g por 100 g de los sólidos. Hay que confirmarlo en laboratorio [POR CONFIRMAR]. El cálculo viejo de unos 14 g del documento 03 ya no se usa (HECHOS_v7).</w:t>
      </w:r>
    </w:p>
    <w:p>
      <w:pPr>
        <w:pStyle w:val="Heading1"/>
      </w:pPr>
      <w:r>
        <w:t xml:space="preserve">1. Estado de la carpeta del Drive al 19-oct-2026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`AndiBite_PESTEL.docx`:</w:t>
      </w:r>
      <w:r>
        <w:t xml:space="preserve"> es el punto #3, de Angie. Se revisa en este informe. Es lo único entregado en la carpeta.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Enlace de AI Studio dentro del mismo documento:</w:t>
      </w:r>
      <w:r>
        <w:t xml:space="preserve"> Diana dejó el enlace del benchmark, el FODA y el FODA cruzado (puntos #2 y #4). El enlace no se puede leer desde fuera, así que Diana va a pegar las imágenes en el documento. Mientras tanto no se puede revisar ese trabajo. En el PESTEL los títulos "FODA" y "FODA CRUZADO" están vacíos.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`PPT Sesión 09 - docente`:</w:t>
      </w:r>
      <w:r>
        <w:t xml:space="preserve"> es material de clase. No es un entregable del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dice la clase que falta en el Drive:</w:t>
      </w:r>
      <w:r>
        <w:t xml:space="preserve"> el caso NutriSmart (#20) y la explicación del "5-3-2 AIDA" (#14).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Limpieza del documento:</w:t>
      </w:r>
      <w:r>
        <w:t xml:space="preserve"> al final del PESTEL quedó la nota "DIANA: benchmark - minimo 3 competidores. LINK COMPLETO..." Conviene sacarla del PESTEL cuando Diana pegue las imágenes, para que el documento final no tenga notas internas.</w:t>
      </w:r>
    </w:p>
    <w:p>
      <w:pPr>
        <w:pStyle w:val="Heading1"/>
      </w:pPr>
      <w:r>
        <w:t xml:space="preserve">2. Los 22 puntos del T2 y su estado</w:t>
      </w:r>
    </w:p>
    <w:p>
      <w:pPr>
        <w:spacing w:after="120"/>
      </w:pPr>
      <w:r>
        <w:t xml:space="preserve">Los títulos son los de la lista oficial del grupo. El responsable es el del reparto.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7"/>
        <w:gridCol w:w="3713"/>
        <w:gridCol w:w="967"/>
        <w:gridCol w:w="3713"/>
      </w:tblGrid>
      <w:tr>
        <w:trPr>
          <w:tblHeader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Punto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al 19-oct-2026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Recap del Canvas T1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Benchmark (mínimo 3 competidores)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Esperando: Diana pega las imágenes de AI Studio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PESTEL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revisión: este informe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FODA y FODA cruzado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Esperando: Diana pega las imágenes de AI Studio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Datos del mercado en números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Proyección de demanda y crecimiento 2027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 objetivos SMART y KPI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Qué le importa al cliente (prompt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Segmentación y 2 buyer persona (prompt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Posicionamiento (prompt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Slogan y palabras, imágenes y emociones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Manual de marca y plantilla de la PPT (ya existe 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T2_12_Plantilla-PPT-AndiBite.pptx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Concepto de campaña, storytelling y estrategia de comunicación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preparación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Ecosistema digital, Meta Ads en video (5-3-2 AIDA, testimonios) y cierre por WhatsApp o landing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preparación (la clase marca como faltante en el Drive la explicación del "5-3-2 AIDA")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Calendario de contenido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preparación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7P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Presupuesto (inversión por canal, CPA, ROAS y ROI; 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Diagrama de Gantt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Control de KPI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Resumen del caso NutriSmart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Esperando el caso NutriSmart (la clase lo marca como faltante en el Drive)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Portada, resumen ejecutivo y cierre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Unir todo en la plantilla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Conteo:</w:t>
      </w:r>
      <w:r>
        <w:t xml:space="preserve"> hechos y en revisión de congruencia 13 (#1, #5 a #12 y #16 a #19); en revisión del Drive 1 (#3); en preparación 3 (#13, #14 y #15); esperando 3 (#2 y #4 esperan las imágenes de Diana; #20 espera el caso NutriSmart); después 2 (#21 y #22). Total: 22.</w:t>
      </w:r>
    </w:p>
    <w:p>
      <w:pPr>
        <w:pStyle w:val="Heading1"/>
      </w:pPr>
      <w:r>
        <w:t xml:space="preserve">3. Revisión del PESTEL de Angie (#3)</w:t>
      </w:r>
    </w:p>
    <w:p>
      <w:pPr>
        <w:pStyle w:val="Heading2"/>
      </w:pPr>
      <w:r>
        <w:t xml:space="preserve">3.1 ¿Está completo según la clase?</w:t>
      </w:r>
    </w:p>
    <w:p>
      <w:pPr>
        <w:spacing w:after="120"/>
      </w:pPr>
      <w:r>
        <w:t xml:space="preserve">La clase pide el PESTEL como primer paso del análisis situacional, antes del benchmark y del FODA, que es la "brújula estratégica". No da una plantilla con campos obligatorios, así que se revisa contra eso y contra el criterio de la unidad (ODS, enfoque digital, uso crítico de 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cumple:</w:t>
      </w:r>
      <w:r>
        <w:t xml:space="preserve"> están las 6 dimensiones (política, económica, social, tecnológica, ambiental y legal); hay 3 o 4 variables por dimensión; cada una tiene una evaluación; hay un resumen y una matriz detallada.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le falta: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Respaldo con datos: solo 2 de 19 variables tienen número, y ninguna tiene fuente ni fecha. La regla del grupo es que todo número lleve fuente, enlace y fecha.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Una columna de "qué significa para AndiBite". Hoy las variables están en genérico y podrían ser de cualquier snack.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El vínculo con los ODS. HECHOS_v7 fija el ODS 2 (meta 2.2) como principal, y el ODS 3 y el ODS 8 como complementarios.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Dos notas con asterisco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</w:t>
      </w:r>
      <w:r>
        <w:t xml:space="preserve"> en "aceptadas por niños"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**</w:t>
      </w:r>
      <w:r>
        <w:t xml:space="preserve"> en "pérdidas por conservación") que no tienen texto de explicación.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Una conexión visible con el FODA: qué oportunidades y amenazas del PESTEL pasan al FODA.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Si se usó IA para armar el PESTEL, decirlo y explicar qué se corrigió. La clase pide "uso crítico de IA".</w:t>
      </w:r>
    </w:p>
    <w:p>
      <w:pPr>
        <w:pStyle w:val="Heading2"/>
      </w:pPr>
      <w:r>
        <w:t xml:space="preserve">3.2 Datos con número: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1"/>
        <w:gridCol w:w="2350"/>
        <w:gridCol w:w="2350"/>
        <w:gridCol w:w="2349"/>
      </w:tblGrid>
      <w:tr>
        <w:trPr>
          <w:tblHeader/>
        </w:trPr>
        <w:tc>
          <w:tcPr>
            <w:tcW w:type="dxa" w:w="23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 de Angie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¿Es correcto?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 verificado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 y fecha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Inflación en Lima 4.28 % acumulada a setiembre de 2026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Sí, con precisión: es acumulada de enero a setiembre, no de 12 meses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Lima Metropolitana, setiembre de 2026: variación del mes 0.12 %; acumulada enero a setiembre 4.28 %; índice 120.86 (base dic. 2021 = 100). En 12 meses: unos 4.5 % (4.55 % según La Cámara; 4.5 % según el BCRP). El rango meta del BCRP es 1 % a 3 %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Resolución Jefatural N.° 209-2026-INEI, publicada en El Peruano el 1-oct-2026; La Cámara de Comercio de Lima, 2-oct-2026; nota de Infomercado sobre la decisión del BCRP, 9-oct-2026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82.7 % de hogares limeños con internet, I trimestre de 2026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Lima Metropolitana el acceso a internet en el hogar subió de 78.1 % a 82.7 % (4.6 puntos) entre el I trimestre de 2025 y el de 2026. A nivel nacional fue 62.7 %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nota de prensa del 26-jun-2026, con datos de la ENAHO (Encuesta Nacional de Hogares), Estadísticas de las TIC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Cómo decirlo bien:</w:t>
      </w:r>
      <w:r>
        <w:t xml:space="preserve"> "4.28 %" es lo que subieron los precios de Lima de enero a setiembre de 2026. Si alguien lo lee como "inflación anual", se equivoca por unos 0.2 puntos. Conviene escribir siempre "acumulada de enero a setiembre de 2026".</w:t>
      </w:r>
    </w:p>
    <w:p>
      <w:pPr>
        <w:pStyle w:val="Heading2"/>
      </w:pPr>
      <w:r>
        <w:t xml:space="preserve">3.3 Coherencia con HECHOS_v7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dice el PESTEL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dice HECHOS_v7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Corrección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Subtítulo: "mini brownies con sangrecita, cañihua y cacao"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cañihua va solo en el sabor Andi. Chispa es choco clásico con chispas; Lúcu es choco y lúcuma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Quitar la cañihua del subtítulo general y mencionarla solo para el sabor Andi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A1: "clima y cacao o cañihua (Amenaza)"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riesgo de cañihua afecta a un solo sabor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Separar: el cacao afecta a los 3 sabores; la cañihua, solo a Andi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T3: "Ventas y atención digital mediante redes y mensajería (Oportunidad)" y la matriz "digitalización de ventas"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Canal principal: venta física (stands, ferias, eventos, colegios, naturistas). WhatsApp es solo para recompra, con entregas agrupadas 2 días por semana o recojo en el stand. Las redes se usan para pauta y contacto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Cambiar el texto a "Recompra y atención por WhatsApp, QR en el envase y redes para llegar al stand". No decir "ventas digitales"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L2: "Etiquetado y octógonos según composición final (Amenaza)" y matriz "L2 octógonos (Amenaza)"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meta es "sin octógono" y se confirma en laboratorio [POR CONFIRMAR]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Escribirlo como "meta sin octógono por confirmar". Ver el aviso del azúcar abajo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P2: "Programas y criterios de alimentación saludable escolar (Ambas)"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colegios empiezan en marzo y solo con productos sin octógonos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una oportunidad condicionada: depende del octógono. Ver sección 3.5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P1: "alimentos con aporte nutricional comprobado"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 se dice "previene la anemia" (riesgo de publicidad engañosa). AndiBite "contribuye"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Cambiar por "hierro medido por lote" y "contribuye"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E3: "Poder adquisitivo y gasto de los hogares limeños" sin distinguir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Público A y B con esfuerzo parejo (unos 7 de cada 10 hogares A/B son B)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Separar en A y B, con los ingresos de APEIM 2025 que ya están en HECHOS_v7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Resumen: L3 incluye "protección de datos"; matriz: L4 es "tributos y datos personales"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el mismo tema en dos lugares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Elegir uno. Propuesta: L3 = publicidad y declaraciones nutricionales; L4 = tributos; y los datos personales (Ley 29733) como parte de L3 o L4, pero en un solo lugar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Dimensión "E (ecológico)" y en la matriz "A1, A2, A3"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la misma dimensión con dos nombres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Llamarla "A (ambiental)" en las dos partes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Aviso sobre los octógonos.</w:t>
      </w:r>
      <w:r>
        <w:t xml:space="preserve"> Un sólido lleva el octógono "alto en azúcares" desde 10 g de azúcar total por 100 g. La meta "sin octógono" es una meta de reformulación, no un hecho: con la receta reformulada (con eritritol), la T1 calcula de 4.6 a 7.1 g por 100 g, bajo el límite, y falta confirmarlo en laboratorio [POR CONFIRMAR]. El documento 03 conserva un cálculo viejo de unos 14 g: no se usa (HECHOS_v7). El PESTEL debe decir "meta sin octógono por confirmar".</w:t>
      </w:r>
    </w:p>
    <w:p>
      <w:pPr>
        <w:pStyle w:val="Heading2"/>
      </w:pPr>
      <w:r>
        <w:t xml:space="preserve">3.4 Un dato con fuente para cada variable</w:t>
      </w:r>
    </w:p>
    <w:p>
      <w:pPr>
        <w:spacing w:after="120"/>
      </w:pPr>
      <w:r>
        <w:t xml:space="preserve">Los datos van con su fuente y fecha. Si una cifra no se pudo verificar, dice [POR CONFIRMAR]. Los enlaces están en la sección Fuentes.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9"/>
        <w:gridCol w:w="3445"/>
        <w:gridCol w:w="3446"/>
      </w:tblGrid>
      <w:tr>
        <w:trPr>
          <w:tblHeader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 propuesto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 y fecha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P1 Políticas de anemia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Plan Multisectorial para la Prevención y Reducción de la Anemia Materno Infantil 2024-2030, aprobado por el D.S. 002-2024-SA. Parte de 43.6 % de anemia en niños de 6 a 35 meses (ENDES, primer semestre de 2023, con el criterio anterior de la OMS)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Peruano, 24-ene-2024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P1 (situación actual)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anemia afectó al 34.9 % de los niños de 6 a 35 meses del Perú en 2025, criterio OMS 2024 (rural 43.2 %, urbana 31.5 %). El 38.7 % consumió suplemento de hierro, 4.9 puntos más que en 2024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ENDES 2025, nota del 16-may-2026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P2 Alimentación saludable escolar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lineamientos del MINSA (RM 195-2019/MINSA) impiden vender en quioscos y comedores escolares los alimentos que superan los límites de azúcar, sodio, grasas saturadas y grasas trans de la Ley 30021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Andina, 5-mar-2019; MINSA. Vigencia actual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P3 Apoyo a mypes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PRODUCE financiará 4 ferias "Perú Produce" (Lima, Ucayali, Cusco y Lambayeque) del 11 al 16 de noviembre de 2026, con mypes seleccionadas, incluidas las asistidas por el ITP y ProInnóvate. Requisitos aún sin anunciar. La inscripción en el REMYPE (registro de la micro y pequeña empresa) es gratuita y da descuentos en INDECOPI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Agraria.pe, 23-sep-2026; documento 03 de AndiBite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E1 Inflación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4.28 % acumulada de enero a setiembre de 2026 en Lima; unos 4.5 % en 12 meses, sobre el rango meta de 1 % a 3 %. En setiembre, alimentos y bebidas no alcohólicas bajaron 0.07 % y el alza del mes vino del transporte por los combustibles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 (El Peruano, 1-oct-2026); La Cámara, 2-oct-2026; BCRP vía Infomercado, 9-oct-2026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E2 Cacao y otros insumos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cacao cotizó a US$5,645 por tonelada el 16-oct-2026: 2.2 % menos en un mes y 4.2 % menos en un año. Llegó a más de US$13,000 a fines de 2024. La entidad reguladora de Ghana prevé que su producción de 2026/27 caiga al menos 16 %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Trading Economics, 16-oct-2026. La cifra de Ghana es de una nota secundaria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E3 Poder adquisitivo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Ingreso mensual del hogar: A S/14,584; B S/7,787 (y C S/4,180). En Lima Top el 51.4 % de los hogares es B y el 20.2 % es A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2025, tomado de HECHOS_v7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S1 Interés por anemia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Mismas cifras de ENDES 2025 (34.9 % en el Perú) y, para Lima Metropolitana, 24.0 % en niños de 6 a 35 meses (ENDES 2024, criterio OMS 2024; tema #05). Importante: ENDES mide niños de 6 a 35 meses; AndiBite apunta a niños de 4 a 11 años. Para escolares, HECHOS_v7 usa 22.5 % (escolares atendidos por el MINSA)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16-may-2026; HECHOS_v7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S2 Loncheras prácticas y aceptadas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Evidencia propia: 10 entrevistas y el focus 1 con mamás de Lima Norte (NSE C/B) dicen que sin la prueba del niño no hay compra y que la sangrecita se acepta escondida en algo dulce. El focus 2 con degustación está hecho y los resultados están por cargar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HECHOS_v7. Es evidencia de AndiBite, no de mercado; no vale para todo Lima [POR CONFIRMAR con el focus 2]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S3 Información clara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Según HECHOS_v7, el 83 % cambia su compra por los octógonos (Ipsos 2025) y el 42 % desconfía de lo envasado (Kantar 2025). Además, la norma técnica NTP 209.652:2025 de etiquetado nutricional se aprobó en agosto de 2026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HECHOS_v7. Yo no pude abrir los estudios de Ipsos y Kantar [POR CONFIRMAR el enlace]. Agraria.pe, 5-ago-2026, vía documento 03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T1 Internet y móviles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82.7 % de hogares limeños con internet en el I trimestre de 2026 (78.1 % un año antes). El 91.5 % de los usuarios de internet en Lima se conecta por celular. El 98.4 % de los hogares limeños tenía telefonía móvil en el IV trimestre de 2025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26-jun-2026; El Peruano sobre el INEI, IV trimestre de 2025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T2 Procesamiento y conservación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sangrecita viene lista, liofilizada y a granel (S/300 por kg) de un proveedor con registro sanitario. La maquila solo la hidrata. El hierro se mide en laboratorio por lote. Vida útil objetivo: de 60 a 90 días a temperatura ambiente [HIPÓTESIS]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HECHOS_v7; documento 03. La vida útil real se confirma con un estudio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T3 Ventas y atención digital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de lo vendido en físico vuelve por WhatsApp. Meta: 30 % de los envases escaneados con el QR en el año 1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 (son metas del plan, no datos de mercado)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A1 Clima y cacao o cañihua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ENFEN (comité que vigila El Niño) anunció, según Panamericana, un Niño costero de magnitud extraordinaria entre setiembre de 2026 y mayo de 2027, con pico probable hasta enero de 2027. Perú exportó más de 178 mil toneladas de cacao y derivados en 2025 (US$1,619 millones); San Martín, Junín, Huánuco y Ucayali producen el 79 %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Panamericana, 16-sep-2026 (comunicado ENFEN 16-2026) [POR CONFIRMAR en el texto oficial]; MIDAGRI vía Panamericana. Cañihua: no se halló dato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A2 Residuos de envases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Ley 30884 regula el plástico de un solo uso y los envases descartables; su reglamento es el D.S. 006-2019-MINAM (El Peruano, 23-ago-2019). El envase del brownie es flow pack individual y caja de 6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LP Derecho / El Peruano, 2019; documento 03. Si el flow pack entra en la ley [POR CONFIRMAR con Paty]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A3 Pérdidas por conservación y distribución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brownie se hornea en la planta de maquila y se despacha al almacén de la marca. Meta de vida útil de 60 a 90 días. No hay dato de mermas todavía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03 [HIPÓTESIS]. Dato de mermas [POR CONFIRMAR con Paty y la maquila]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L1 Requisitos sanitarios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producto envasado con la marca AndiBite necesita su propio Registro Sanitario ante DIGESA (D.S. 007-98-SA). Hoy el trámite no tiene tasa por el nuevo TUPA del MINSA (D.S. 011-2026-SA, vigente desde el 22-jul-2026); el costo real está en los análisis de laboratorio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Comunicado 05-2026 DIGESA/MINSA, tomado del documento 03 (la página de DIGESA bloqueó mi consulta)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L2 Octógonos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Ley 30021 y Manual de Advertencias Publicitarias (D.S. 012-2018-SA). Desde el 17-sep-2021 un sólido lleva octógono desde 400 mg de sodio, 10 g de azúcar total o 4 g de grasas saturadas por 100 g. Receta reformulada con eritritol: de 4.6 a 7.1 g de azúcar por 100 g según la T1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Gestión, 19-sep-2021; HECHOS_v7 [POR CONFIRMAR en laboratorio]. En 2022 el MINSA publicó un proyecto para cambiar los límites; no encontré que se haya aprobado [POR CONFIRMAR en El Peruano]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L3 Publicidad y declaraciones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art. 8 de la Ley 30021 regula la publicidad de alimentos dirigida a menores de 16 años. Prohíbe entregarles productos gratis como promoción, por eso las muestras van a los padres. Además, la Ley 29733 de datos personales tiene un nuevo reglamento (D.S. 016-2024-JUS), vigente desde fines de marzo de 2025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Congreso de la República; documento 03; Garrigues. Fecha exacta de vigencia: 30 de marzo según la mayoría de fuentes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L4 Tributos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Valor de la UIT 2026: S/5,500. Régimen MYPE Tributario: pago a cuenta de 1 % mensual si se vende hasta 300 UIT al año; renta anual de 10 % sobre las primeras 15 UIT de utilidad y 29.5 % sobre el exceso; IGV de 18 %. Desde el 1-jun-2026 quien se inscribe en el RUC emite factura electrónica desde el primer día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MEF, D.S. 301-2025-EF; modelo.pe sobre el RMT 2026 (fuente secundaria, confirmar en SUNAT); documento 03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Programas de PRODUCE y lineamientos de MINEDU: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PRODUCE solo encontré datos recientes y claros de las ferias "Perú Produce". Las fechas (11 al 16 de noviembre de 2026) caen antes del lanzamiento de AndiBite (enero de 2027) y los requisitos no se han publicado. Compras a MYPErú existe, pero compra sobre todo textiles y calzado para entidades del Estado. No encontré una convocatoria actual de ProInnóvate para el rubro de alimentos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MINEDU no encontré una norma propia sobre quioscos escolares. La regla vigente que hallé es de MINSA (RM 195-2019/MINSA), y los lineamientos dicen que MINEDU debe adoptarlos [POR CONFIRMAR].</w:t>
      </w:r>
    </w:p>
    <w:p>
      <w:pPr>
        <w:pStyle w:val="Heading2"/>
      </w:pPr>
      <w:r>
        <w:t xml:space="preserve">3.5 Evaluación propuesta para las variables que dicen "Ambas"</w:t>
      </w:r>
    </w:p>
    <w:p>
      <w:pPr>
        <w:spacing w:after="120"/>
      </w:pPr>
      <w:r>
        <w:t xml:space="preserve">Un PESTEL más claro define si cada variable es oportunidad o amenaza para AndiBite. Cuando de verdad depende de una condición, es mejor escribir la condición que dejar "Ambas". Todo esto es [PROPUESTA] para que Angie y el grupo decidan.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1"/>
        <w:gridCol w:w="1014"/>
        <w:gridCol w:w="3102"/>
        <w:gridCol w:w="3383"/>
      </w:tblGrid>
      <w:tr>
        <w:trPr>
          <w:tblHeader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Propuesta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P2 Alimentación saludable escolar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 si el lote sale sin octógono; amenaza si no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colegios son 17.5 % de los brownies del año 1. Con octógono no se vende en quioscos escolares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E2 Cacao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moderada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precios bajaron en el último año, pero siguen siendo muy volátiles y AndiBite no puede subir sus precios del plan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E3 Poder adquisitivo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 para A; amenaza moderada para B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Ingreso del hogar A S/14,584; B S/7,787. Rodrigo (B) mira el precio por brownie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S3 Información clara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"Hierro medido. Sabor a brownie." y la app con el resultado por lote responden justo a la desconfianza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T2 Procesamiento y conservación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sangrecita liofilizada ya viene lista y la maquila evita montar planta propia. El riesgo de vida útil va en A3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A2 Residuos de envases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baja (cumplimiento)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una obligación más que un beneficio. Puede ser oportunidad de marca si el envase es reciclable [PROPUESTA]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L3 Publicidad y declaraciones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controlable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controla con las reglas ya decididas: no decir "previene la anemia" y no promocionar a menores de 16 años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L4 Tributos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baja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régimen MYPE Tributario cobra sobre utilidad y es un costo que ya está en el plan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 quedan igual: P1 (oportunidad), P3 (oportunidad, con la nota de que las ferias de noviembre no encajan con las fechas), E1 (amenaza), S1 y S2 (oportunidad), T1 y T3 (oportunidad), A1 y A3 (amenaza), L1 y L2 (amenaza).</w:t>
      </w:r>
    </w:p>
    <w:p>
      <w:pPr>
        <w:pStyle w:val="Heading1"/>
      </w:pPr>
      <w:r>
        <w:t xml:space="preserve">4. Correcciones concretas con frases listas para pegar</w:t>
      </w:r>
    </w:p>
    <w:p>
      <w:pPr>
        <w:spacing w:after="120"/>
      </w:pPr>
      <w:r>
        <w:t xml:space="preserve">Cada corrección dice qué cambiar y trae la frase nueva.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Subtítulo del documento.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"Mini brownies con sangrecita, cañihua y cacao para loncheras infantiles"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"Mini brownies de 20 g con sangrecita de res liofilizada y cacao para loncheras infantiles, en tres sabores: Chispa, Andi (con cañihua) y Lúcu (con lúcuma)."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Inflación (E1).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"Inflación en Lima: 4,28 % acumulada a setiembre de 2026"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"Inflación en Lima Metropolitana: 4.28 % acumulada de enero a setiembre de 2026 y unos 4.5 % en los últimos 12 meses, sobre el rango meta de 1 % a 3 % del BCRP (INEI, 1-oct-2026)."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Frase para la matriz: "En setiembre los alimentos y bebidas bajaron 0.07 % y el alza vino del transporte por los combustibles. Los precios del plan de AndiBite no cambian; se vigilan los costos de insumos y transporte."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Internet (T1).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Mantener la cifra y agregar fuente: "El 82.7 % de los hogares de Lima Metropolitana tuvo internet en el primer trimestre de 2026, frente a 78.1 % un año antes (INEI, ENAHO, 26-jun-2026). El 91.5 % de quienes usan internet en Lima se conecta por celular."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Ventas digitales (T3).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"Ventas y atención digital mediante redes y mensajería"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"Recompra y atención por WhatsApp, QR en el envase y redes para llevar gente al stand. La venta principal es física; WhatsApp es para recompra, con entregas agrupadas 2 días por semana o recojo en el stand."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En la matriz, cambiar "T3 digitalización de ventas" por "T3 recompra y atención digital".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Políticas de anemia (P1).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"entorno favorable para informar sobre alimentos con aporte nutricional comprobado"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Plan Multisectorial para la Prevención y Reducción de la Anemia Materno Infantil 2024-2030 (D.S. 002-2024-SA) mantiene el tema en la agenda pública. En 2025 la anemia afectó al 34.9 % de los niños de 6 a 35 meses (INEI, ENDES, 16-may-2026). AndiBite contribuye con hierro medido por lote; no promete prevenir la anemia."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Alimentación saludable escolar (P2).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"Los lineamientos del MINSA (RM 195-2019/MINSA) no permiten vender en quioscos escolares alimentos que superan los límites de azúcar, sodio, grasas saturadas o grasas trans. Es una oportunidad para AndiBite solo si el lote sale sin octógono, algo que se confirma en laboratorio [POR CONFIRMAR]."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Apoyo a mypes (P3).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"PRODUCE financiará cuatro ferias 'Perú Produce' del 11 al 16 de noviembre de 2026 para mypes seleccionadas (Agraria.pe, 23-sep-2026). Caen antes del lanzamiento y sus requisitos aún no se publican. La inscripción en el REMYPE es gratuita y da descuentos en INDECOPI."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Cacao (E2).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cacao cotizó a US$5,645 por tonelada el 16-oct-2026, 4.2 % menos que un año antes, pero con mucha variación (Trading Economics). Es una amenaza moderada, porque los precios de AndiBite no cambian."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Poder adquisitivo (E3).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ingreso mensual del hogar es de S/14,584 en el nivel A y S/7,787 en el B (APEIM 2025). Para el público A es una oportunidad; el público B compara el precio por brownie, por eso se le habla de 'una mañana menos' y del pack."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Información clara (S3).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"Hierro medido por lote y publicado en la app responde a la desconfianza hacia lo envasado. La norma técnica NTP 209.652:2025 de etiquetado nutricional se aprobó en agosto de 2026."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Notas con asterisco.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</w:t>
      </w:r>
      <w:r>
        <w:t xml:space="preserve">: "Fuente: 10 entrevistas y el focus 1 de AndiBite con mamás de Lima Norte (NSE C/B). El focus 2 con degustación está hecho; los resultados están por cargar."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**</w:t>
      </w:r>
      <w:r>
        <w:t xml:space="preserve">: "La vida útil objetivo es de 60 a 90 días a temperatura ambiente [HIPÓTESIS]; se confirma con un estudio de vida útil."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Clima (A1).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"clima y cacao o cañihua"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"Clima y cacao (los tres sabores); clima y cañihua (solo el sabor Andi). El ENFEN anunció un Niño costero de magnitud extraordinaria de setiembre de 2026 a mayo de 2027 [POR CONFIRMAR en el comunicado oficial 16-2026]."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Residuos de envases (A2).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"La Ley 30884 y su reglamento (D.S. 006-2019-MINAM) regulan el plástico de un solo uso y los envases descartables. AndiBite usa flow pack individual y caja de 6; falta confirmar si el flow pack entra en la ley [POR CONFIRMAR con Paty]."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b/>
          <w:bCs/>
        </w:rPr>
        <w:t xml:space="preserve">Requisitos sanitarios (L1).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producto envasado con la marca AndiBite necesita su propio Registro Sanitario ante DIGESA. El trámite hoy no tiene tasa (D.S. 011-2026-SA, desde el 22-jul-2026); el costo está en los análisis de laboratorio y el estudio de vida útil."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Octógonos (L2).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"Etiquetado y octógonos según composición final (Amenaza)"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"Meta 'sin octógono' por confirmar en laboratorio. Un sólido lleva octógono desde 10 g de azúcar total por 100 g (Ley 30021 y Manual de Advertencias, vigente desde el 17-sep-2021). Con la receta reformulada (eritritol), la T1 calcula de 4.6 a 7.1 g por 100 g, bajo ese límite [POR CONFIRMAR en laboratorio]."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b/>
          <w:bCs/>
        </w:rPr>
        <w:t xml:space="preserve">Publicidad y datos (L3 y L4).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"La publicidad dirigida a menores de 16 años tiene reglas en el art. 8 de la Ley 30021; AndiBite se dirige a padres y madres, y las muestras se entregan a los adultos. Los contactos de WhatsApp son datos personales y se rigen por la Ley 29733 y su nuevo reglamento (D.S. 016-2024-JUS)."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"Los tributos de la venta formal (IGV de 18 % y régimen MYPE Tributario) ya están en el plan de costos."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b/>
          <w:bCs/>
        </w:rPr>
        <w:t xml:space="preserve">ODS.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Agregar al final: "El PESTEL se alinea al ODS 2 (meta 2.2, fin de la malnutrición), con el ODS 3 (salud y bienestar) y el ODS 8 (trabajo decente) como complementarios. AndiBite contribuye; no acaba con la anemia."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Cierre hacia el FODA.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Agregar: "Pasan al FODA como oportunidades: P1, S1, S2, S3, T1 y T3. Pasan como amenazas: E1, E2, A1, L1, L2 y L3."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Limpieza.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Borrar la nota "DIANA: benchmark..." y los títulos vacíos "FODA" y "FODA CRUZADO" cuando Diana pegue las imágenes.</w:t>
      </w:r>
    </w:p>
    <w:p>
      <w:pPr>
        <w:pStyle w:val="Heading1"/>
      </w:pPr>
      <w:r>
        <w:t xml:space="preserve">5. Queda por confirmar o contradice otros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Anemia:</w:t>
      </w:r>
      <w:r>
        <w:t xml:space="preserve"> ya está verificada en el tema #05. Lima Metropolitana 2024: 24.0 % en niños de 6 a 35 meses (ENDES 2024, criterio OMS 2024; con el criterio anterior sería 32.9 %). Perú 2025: 34.9 % (criterio OMS 2024). El indicador 2.2.3 de los ODS mide la anemia en mujeres de 15 a 49 años, no en niños. El dato de Lima Metropolitana 2025 sigue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Estudios de Ipsos y Kantar:</w:t>
      </w:r>
      <w:r>
        <w:t xml:space="preserve"> el tema #05 ya trae los enlaces: Ipsos Perú (21-feb-2025) para el 83 % y Kantar (2025) para el 42 %.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Ley 31919 y D.S. 017-2023-SA:</w:t>
      </w:r>
      <w:r>
        <w:t xml:space="preserve"> el documento 03 dice que permiten adhesivos para octógonos a las mypes. Mis búsquedas no lo confirmaron; está en el documento 03 con enlaces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Límites de los octógonos:</w:t>
      </w:r>
      <w:r>
        <w:t xml:space="preserve"> los de 10 g de azúcar, 400 mg de sodio y 4 g de grasas saturadas vienen de una nota de Gestión de 2021 y del documento 03. En 2022 hubo un proyecto de cambio; si se aprobó, los límites serían otros [POR CONFIRMAR en El Peruano].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ENFEN:</w:t>
      </w:r>
      <w:r>
        <w:t xml:space="preserve"> la cifra del Niño costero sale de una nota de prensa; falta leer el comunicado oficial N.° 16-2026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Cacao de Ghana y cañihua:</w:t>
      </w:r>
      <w:r>
        <w:t xml:space="preserve"> la caída prevista en Ghana viene de una nota secundaria; no hallé ningún dato de cañihua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Coherencia del equipo:</w:t>
      </w:r>
      <w:r>
        <w:t xml:space="preserve"> el documento 03 todavía conserva un cálculo viejo de unos 14 g de azúcar por 100 g. No se usa. Manda HECHOS_v7: de 4.6 a 7.1 g con la receta reformulada, por confirmar en laboratorio.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Encabezado:</w:t>
      </w:r>
      <w:r>
        <w:t xml:space="preserve"> la segunda línea de este informe sigue lo pedido para esta tarea, sin la leyenda "Propuesta para revisar" de la regla 6.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INEI, Resolución Jefatural N.° 209-2026-INEI, índices de precios de setiembre de 2026 (El Peruano, 1-oct-2026): https://busquedas.elperuano.pe/dispositivo/NL/2559915-1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Cámara de Comercio de Lima, inflación de Lima en setiembre de 2026 (2-oct-2026): https://lacamara.pe/?p=101312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Infomercado, decisión del BCRP del 9-oct-2026: https://infomercado.pe/bcrp-mantiene-su-tasa-en-4-25-y-sorprende-a-un-mercado-que-esperaba-un-alza/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INEI, hogares con internet de enero a marzo de 2026 (26-jun-2026): https://www.gob.pe/institucion/inei/noticias/1412359-el-62-7-de-los-hogares-del-pais-tuvo-conexion-a-internet-entre-los-meses-de-enero-y-marzo-de-2026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Peruano, telefonía móvil en hogares de Lima, IV trimestre de 2025: https://elperuano.pe/noticia/292141-lima-metropolitana-el-984-de-hogares-conto-con-telefonia-movil-durante-cuarto-trimestre-de-2025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INEI, anemia 2025, ENDES (16-may-2026): https://www.gob.pe/institucion/inei/noticias/1392685-el-34-9-de-la-poblacion-de-6-a-35-meses-de-edad-sufrio-de-anemia-en-el-2025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D.S. 002-2024-SA, Plan Multisectorial contra la anemia 2024-2030 (El Peruano, 24-ene-2024): https://busquedas.elperuano.pe/dispositivo/NL/2255412-3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Trading Economics, precio del cacao (16-oct-2026): https://es.tradingeconomics.com/commodity/cocoa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Panamericana, comunicado ENFEN 16-2026 (16-sep-2026): https://panamericana.pe/buenosdiasperu/nacionales/474433-enfen-alerta-nino-devastador-1997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Panamericana, MIDAGRI sobre exportaciones de cacao: https://panamericana.pe/cultura/475187-midagri-peru-principales-exportadores-cacao-derivados-mundo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Agraria.pe, ferias "Perú Produce" (23-sep-2026): https://agraria.pe/noticias/visita-del-papa-leon-xiv-abrira-nuevas-oportunidades-comerci-43148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Congreso de la República, texto de la Ley 30021: https://www.congreso.gob.pe/Docs/DGP/DIDP/files/ley_30021.pdf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Peruano, Manual de Advertencias Publicitarias, D.S. 012-2018-SA: https://busquedas.elperuano.pe/normaslegales/aprueban-manual-de-advertencias-publicitarias-en-el-marco-de-decreto-supremo-n-012-2018-sa-1660606-1/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Gestión, parámetros técnicos de los octógonos vigentes desde el 17-sep-2021: https://gestion.pe/economia/conozca-los-nuevos-parametros-para-octogonos-en-etiquetas-de-alimentos-y-bebidas-noticia/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Andina, lineamientos del MINSA para quioscos escolares, RM 195-2019 (5-mar-2019): https://andina.pe/ingles/noticia-minsa-estos-alimentos-podran-venderse-quioscos-escolares-vea-lista-744322.aspx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Garrigues, nuevo reglamento de la Ley 29733: https://www.garrigues.com/es_ES/noticia/peru-publica-nuevo-reglamento-ley-proteccion-datos-personales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LP Derecho, reglamento de la Ley 30884: https://lpderecho.pe/aprueban-reglamento-de-la-ley-30884-que-regula-el-plastico-de-un-solo-uso-y-los-recipientes-o-envases-descartables/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Peruano, UIT 2026 de S/5,500: https://elperuano.pe/noticia/285208-mef-establece-en-s-5-500-la-unidad-impositiva-tributaria-para-2026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modelo.pe, Régimen MYPE Tributario 2026: https://modelo.pe/blog/regimen-mype-tributario-rmt-2026-tasas-limites/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interno 03, maquila, regulación y permisos: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04-reformulacion/03-maquila-regulacion-y-permisos.md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 del negocio: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#00 Informe de avance y correcciones</dc:title>
  <dc:creator>Grupo 2</dc:creator>
  <cp:lastModifiedBy>Un-named</cp:lastModifiedBy>
  <cp:revision>1</cp:revision>
  <dcterms:created xsi:type="dcterms:W3CDTF">2026-10-19T01:28:13.689Z</dcterms:created>
  <dcterms:modified xsi:type="dcterms:W3CDTF">2026-10-19T01:28:13.690Z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